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0"/>
        <w:gridCol w:w="5197"/>
      </w:tblGrid>
      <w:tr>
        <w:trPr>
          <w:trHeight w:val="3512"/>
        </w:trPr>
        <w:tc>
          <w:tcPr>
            <w:tcW w:w="4450" w:type="dxa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15185" cy="1786255"/>
                      <wp:effectExtent l="0" t="0" r="0" b="444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15185" cy="17862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6.55pt;height:140.6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</w:tc>
        <w:tc>
          <w:tcPr>
            <w:tcW w:w="5197" w:type="dxa"/>
          </w:tcPr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2720" cy="506095"/>
                      <wp:effectExtent l="0" t="0" r="0" b="8255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12720" cy="5060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3.60pt;height:39.8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24"/>
          <w:lang w:eastAsia="en-US"/>
        </w:rPr>
        <w:t xml:space="preserve">Уважаемые коллеги!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Государственное казенное учреждение 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Новосибирской</w:t>
      </w: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 области «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Управление</w:t>
      </w: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контрактной</w:t>
      </w: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системы</w:t>
      </w: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» (ГКУ НСО «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 xml:space="preserve">УКСис</w:t>
      </w: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shd w:val="clear" w:color="auto" w:fill="ffffff"/>
          <w:lang w:eastAsia="en-US"/>
        </w:rPr>
        <w:t xml:space="preserve">») 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совместно с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24"/>
          <w:lang w:eastAsia="en-US"/>
        </w:rPr>
        <w:t xml:space="preserve">электронной площадкой 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Сбер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 А» </w:t>
      </w:r>
      <w:r>
        <w:rPr>
          <w:rFonts w:ascii="Times New Roman" w:hAnsi="Times New Roman" w:cs="Times New Roman" w:eastAsiaTheme="minorHAnsi"/>
          <w:sz w:val="32"/>
          <w:szCs w:val="24"/>
          <w:lang w:eastAsia="en-US"/>
        </w:rPr>
        <w:t xml:space="preserve">приглашает Вас 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2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5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сентября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 2024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 года в 10-00 (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Н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ск</w:t>
      </w:r>
      <w:r>
        <w:rPr>
          <w:rFonts w:ascii="Times New Roman" w:hAnsi="Times New Roman" w:cs="Times New Roman" w:eastAsiaTheme="minorHAnsi"/>
          <w:b/>
          <w:sz w:val="32"/>
          <w:szCs w:val="24"/>
          <w:lang w:eastAsia="en-US"/>
        </w:rPr>
        <w:t xml:space="preserve">) </w:t>
      </w:r>
      <w:r>
        <w:rPr>
          <w:rFonts w:ascii="Times New Roman" w:hAnsi="Times New Roman" w:cs="Times New Roman" w:eastAsiaTheme="minorHAnsi"/>
          <w:sz w:val="32"/>
          <w:szCs w:val="24"/>
          <w:lang w:eastAsia="en-US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24"/>
          <w:lang w:eastAsia="en-US"/>
        </w:rPr>
        <w:t xml:space="preserve">на бесплатный очный семинар: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  <w:t xml:space="preserve">«Поставщики госзакупок. 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  <w:t xml:space="preserve">Особенности участия в закупках в 202</w:t>
      </w:r>
      <w:r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  <w:t xml:space="preserve">4</w:t>
      </w:r>
      <w:r>
        <w:rPr>
          <w:rFonts w:ascii="Times New Roman" w:hAnsi="Times New Roman" w:cs="Times New Roman" w:eastAsiaTheme="minorHAnsi"/>
          <w:b/>
          <w:sz w:val="32"/>
          <w:szCs w:val="32"/>
          <w:lang w:eastAsia="en-US"/>
        </w:rPr>
        <w:t xml:space="preserve"> году»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32"/>
          <w:szCs w:val="32"/>
          <w:lang w:eastAsia="en-US"/>
        </w:rPr>
        <w:t xml:space="preserve">Обязательная! </w:t>
      </w:r>
      <w:r>
        <w:rPr>
          <w:rFonts w:ascii="Times New Roman" w:hAnsi="Times New Roman" w:cs="Times New Roman" w:eastAsiaTheme="minorHAnsi"/>
          <w:color w:val="000000" w:themeColor="text1"/>
          <w:sz w:val="32"/>
          <w:szCs w:val="32"/>
          <w:lang w:eastAsia="en-US"/>
        </w:rPr>
        <w:t xml:space="preserve">предварительная регистрация по ссылке: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fldChar w:fldCharType="begin"/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 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HYPERLINK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 "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https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://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univer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.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sberbank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-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ast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.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ru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/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mkc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-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sber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/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s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/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EZ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9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instrText xml:space="preserve">DF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9</w:instrTex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instrText xml:space="preserve">" </w:instrTex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fldChar w:fldCharType="separate"/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https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://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univer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.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sberbank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-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ast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.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ru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/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mkc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-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sber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/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s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/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EZ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9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val="en-US" w:eastAsia="en-US"/>
        </w:rPr>
        <w:t xml:space="preserve">DF</w:t>
      </w:r>
      <w:r>
        <w:rPr>
          <w:rStyle w:val="ae"/>
          <w:rFonts w:ascii="Times New Roman" w:hAnsi="Times New Roman" w:cs="Times New Roman" w:eastAsiaTheme="minorHAnsi"/>
          <w:sz w:val="32"/>
          <w:szCs w:val="32"/>
          <w:lang w:eastAsia="en-US"/>
        </w:rPr>
        <w:t xml:space="preserve">9</w:t>
      </w:r>
      <w:r>
        <w:rPr>
          <w:rFonts w:ascii="Times New Roman" w:hAnsi="Times New Roman" w:cs="Times New Roman" w:eastAsiaTheme="minorHAnsi"/>
          <w:sz w:val="32"/>
          <w:szCs w:val="32"/>
          <w:lang w:val="en-US" w:eastAsia="en-US"/>
        </w:rPr>
        <w:fldChar w:fldCharType="end"/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32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Адрес: г. Новосибирск, ул. 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Фрунзе, 88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,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каб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. 408.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(в здании имеются два входа, с улицы Ольги Жилиной и с улицы Фрунзе.)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Р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екомендуем участие для тех, кто впервые </w:t>
      </w:r>
      <w:r>
        <w:rPr>
          <w:rFonts w:ascii="Times New Roman" w:hAnsi="Times New Roman" w:cs="Times New Roman" w:eastAsiaTheme="minorHAnsi"/>
          <w:sz w:val="32"/>
          <w:szCs w:val="32"/>
          <w:lang w:eastAsia="en-US"/>
        </w:rPr>
        <w:t xml:space="preserve">планирует участвовать в закупках.</w:t>
      </w:r>
    </w:p>
    <w:p>
      <w:pPr>
        <w:spacing w:after="0" w:line="360" w:lineRule="auto"/>
        <w:ind w:left="-1418"/>
        <w:jc w:val="both"/>
        <w:rPr>
          <w:rFonts w:ascii="Times New Roman" w:hAnsi="Times New Roman" w:cs="Times New Roman" w:eastAsiaTheme="minorHAnsi"/>
          <w:sz w:val="32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32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53425" cy="1647825"/>
                <wp:effectExtent l="19050" t="0" r="9525" b="0"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356644" cy="164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57.75pt;height:129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Bahnschrift" w:hAnsi="Bahnschrift" w:cs="Times New Roman" w:eastAsiaTheme="minorHAnsi"/>
          <w:b/>
          <w:sz w:val="28"/>
          <w:szCs w:val="28"/>
          <w:lang w:eastAsia="en-US"/>
        </w:rPr>
      </w:pPr>
      <w:r>
        <w:rPr>
          <w:rFonts w:ascii="Bahnschrift" w:hAnsi="Bahnschrift" w:cs="Times New Roman" w:eastAsiaTheme="minorHAnsi"/>
          <w:b/>
          <w:sz w:val="28"/>
          <w:szCs w:val="28"/>
          <w:lang w:eastAsia="en-US"/>
        </w:rPr>
        <w:t xml:space="preserve">ПРОГРАММА СЕМИНАРА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HAnsi"/>
          <w:b/>
          <w:sz w:val="36"/>
          <w:szCs w:val="36"/>
          <w:lang w:eastAsia="en-US"/>
        </w:rPr>
      </w:pPr>
    </w:p>
    <w:tbl>
      <w:tblPr>
        <w:tblW w:w="10558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64"/>
        <w:gridCol w:w="5867"/>
        <w:gridCol w:w="3045"/>
      </w:tblGrid>
      <w:tr>
        <w:trPr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вопросов повестки, докладчики</w:t>
            </w:r>
          </w:p>
        </w:tc>
      </w:tr>
      <w:tr>
        <w:trPr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– 09.55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участников.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246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и содержанию заявки на участие в торгах для субъектов малого предпринимательства: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Подача заявки на участие и ее особенности по электронным конкурсам, электронным аукционам;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к составу и содержанию заявки на участие;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Инструкция по заполнению заявки на участие.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Хербер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сеевна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ГКУ НСО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УКСис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</w:t>
            </w:r>
          </w:p>
          <w:p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47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10: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 –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участия в закупках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представитель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Анастасия Борисовна</w:t>
            </w:r>
          </w:p>
        </w:tc>
      </w:tr>
      <w:tr>
        <w:trPr>
          <w:trHeight w:val="2114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10:50 –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ФАС России, практика контроля закупок</w:t>
            </w:r>
          </w:p>
        </w:tc>
        <w:tc>
          <w:tcPr>
            <w:tcW w:w="304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контроля закупок УФАС России. г. Новосибирска.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Студеникин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 Евгеньевич </w:t>
            </w:r>
          </w:p>
        </w:tc>
      </w:tr>
      <w:tr>
        <w:trPr>
          <w:trHeight w:val="2169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 –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возможности рынка: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магазин SBER B2B</w:t>
            </w:r>
          </w:p>
        </w:tc>
        <w:tc>
          <w:tcPr>
            <w:tcW w:w="304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представитель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Анастасия Борисовна</w:t>
            </w:r>
          </w:p>
        </w:tc>
      </w:tr>
      <w:tr>
        <w:trPr>
          <w:trHeight w:val="2078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5 –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50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поддержки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04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поддержки поставщиков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А»</w:t>
            </w:r>
          </w:p>
        </w:tc>
      </w:tr>
      <w:tr>
        <w:trPr>
          <w:trHeight w:val="1387"/>
          <w:tblHeader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11-50-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12-00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Вопрос-ответы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 w:line="360" w:lineRule="atLeast"/>
        <w:rPr>
          <w:rFonts w:ascii="Times New Roman" w:hAnsi="Times New Roman" w:eastAsia="Times New Roman" w:cs="Times New Roman"/>
          <w:i/>
          <w:iCs/>
          <w:color w:val="888888"/>
        </w:rPr>
      </w:pPr>
    </w:p>
    <w:sectPr>
      <w:pgSz w:w="11906" w:h="16838"/>
      <w:pgMar w:top="993" w:right="707" w:bottom="709" w:left="1418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">
    <w:panose1 w:val="02000603000000000000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1496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E5D007A8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5A0286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5A0286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ad" w:customStyle="1">
    <w:name w:val="Основной текст Знак"/>
    <w:basedOn w:val="a0"/>
    <w:link w:val="a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2" w:customStyle="1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contacts-page-text-block-content1" w:customStyle="1">
    <w:name w:val="contacts-page-text-block-content1"/>
    <w:basedOn w:val="a0"/>
  </w:style>
  <w:style w:type="character" w:styleId="ae">
    <w:name w:val="Hyperlink"/>
    <w:basedOn w:val="a0"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styleId="af3" w:customStyle="1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paragraph" w:styleId="af5">
    <w:name w:val="No Spacing"/>
    <w:uiPriority w:val="1"/>
    <w:qFormat/>
    <w:pPr>
      <w:spacing w:after="0" w:line="240" w:lineRule="auto"/>
    </w:pPr>
  </w:style>
  <w:style w:type="table" w:styleId="1" w:customStyle="1">
    <w:name w:val="Сетка таблицы1"/>
    <w:basedOn w:val="a1"/>
    <w:next w:val="aa"/>
    <w:uiPriority w:val="59"/>
    <w:pPr>
      <w:spacing w:after="0" w:line="240" w:lineRule="auto"/>
      <w:ind w:firstLine="709"/>
      <w:jc w:val="both"/>
    </w:pPr>
    <w:rPr>
      <w:rFonts w:ascii="Times New Roman" w:hAnsi="Times New Roman" w:cs="Times New Roman"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94D4-D7EA-4CBF-8E44-ADCC5B94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1581</Characters>
  <CharactersWithSpaces>1855</CharactersWithSpaces>
  <Company/>
  <DocSecurity>0</DocSecurity>
  <HyperlinksChanged>false</HyperlinksChanged>
  <Lines>13</Lines>
  <LinksUpToDate>false</LinksUpToDate>
  <Pages>2</Pages>
  <Paragraphs>3</Paragraphs>
  <ScaleCrop>false</ScaleCrop>
  <SharedDoc>false</SharedDoc>
  <Template>Normal</Template>
  <TotalTime>1419</TotalTime>
  <Words>277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Рыжова</dc:creator>
  <cp:lastModifiedBy>AB</cp:lastModifiedBy>
  <cp:revision>34</cp:revision>
  <cp:lastPrinted>2022-03-22T09:49:00Z</cp:lastPrinted>
  <dcterms:created xsi:type="dcterms:W3CDTF">2024-03-04T04:15:00Z</dcterms:created>
  <dcterms:modified xsi:type="dcterms:W3CDTF">2024-08-24T11:08:00Z</dcterms:modified>
</cp:coreProperties>
</file>