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2F" w:rsidRDefault="00D45807">
      <w:pPr>
        <w:jc w:val="right"/>
        <w:rPr>
          <w:rFonts w:ascii="Times New Roman" w:hAnsi="Times New Roman" w:cs="Times New Roman"/>
          <w:color w:val="808080" w:themeColor="background1" w:themeShade="80"/>
          <w:sz w:val="28"/>
          <w:szCs w:val="28"/>
        </w:rPr>
      </w:pPr>
      <w:r>
        <w:rPr>
          <w:rFonts w:ascii="Times New Roman" w:hAnsi="Times New Roman" w:cs="Times New Roman"/>
          <w:color w:val="808080" w:themeColor="background1" w:themeShade="80"/>
          <w:sz w:val="28"/>
          <w:szCs w:val="28"/>
        </w:rPr>
        <w:t>ПРОЕКТ</w:t>
      </w:r>
    </w:p>
    <w:tbl>
      <w:tblPr>
        <w:tblStyle w:val="a7"/>
        <w:tblW w:w="4241"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tblGrid>
      <w:tr w:rsidR="00AE342F">
        <w:tc>
          <w:tcPr>
            <w:tcW w:w="4241" w:type="dxa"/>
          </w:tcPr>
          <w:p w:rsidR="00AE342F" w:rsidRDefault="00D45807" w:rsidP="003E5CBA">
            <w:pPr>
              <w:pStyle w:val="30"/>
              <w:shd w:val="clear" w:color="auto" w:fill="auto"/>
              <w:ind w:right="20"/>
              <w:rPr>
                <w:b w:val="0"/>
              </w:rPr>
            </w:pPr>
            <w:bookmarkStart w:id="0" w:name="_GoBack"/>
            <w:r>
              <w:rPr>
                <w:b w:val="0"/>
              </w:rPr>
              <w:t>УТВЕРЖДЕН</w:t>
            </w:r>
          </w:p>
          <w:p w:rsidR="00AE342F" w:rsidRDefault="00D45807" w:rsidP="003E5CBA">
            <w:pPr>
              <w:pStyle w:val="30"/>
              <w:shd w:val="clear" w:color="auto" w:fill="auto"/>
              <w:ind w:right="20"/>
              <w:rPr>
                <w:b w:val="0"/>
              </w:rPr>
            </w:pPr>
            <w:r>
              <w:rPr>
                <w:b w:val="0"/>
              </w:rPr>
              <w:t>приказом управления государственной архивной службы Новосибирской области</w:t>
            </w:r>
          </w:p>
          <w:p w:rsidR="00AE342F" w:rsidRDefault="00D45807" w:rsidP="003E5CBA">
            <w:pPr>
              <w:pStyle w:val="30"/>
              <w:shd w:val="clear" w:color="auto" w:fill="auto"/>
              <w:ind w:right="20"/>
              <w:rPr>
                <w:b w:val="0"/>
              </w:rPr>
            </w:pPr>
            <w:r>
              <w:rPr>
                <w:b w:val="0"/>
              </w:rPr>
              <w:t>от _________ № _____</w:t>
            </w:r>
            <w:bookmarkEnd w:id="0"/>
          </w:p>
        </w:tc>
      </w:tr>
    </w:tbl>
    <w:p w:rsidR="00AE342F" w:rsidRDefault="00AE342F">
      <w:pPr>
        <w:pStyle w:val="30"/>
        <w:shd w:val="clear" w:color="auto" w:fill="auto"/>
        <w:ind w:right="20" w:firstLine="709"/>
      </w:pPr>
    </w:p>
    <w:p w:rsidR="00AE342F" w:rsidRDefault="00D45807">
      <w:pPr>
        <w:pStyle w:val="30"/>
        <w:shd w:val="clear" w:color="auto" w:fill="auto"/>
        <w:ind w:right="20"/>
      </w:pPr>
      <w:r>
        <w:t>Доклад об итогах профилактической работы</w:t>
      </w:r>
      <w:r>
        <w:br/>
        <w:t>управления государственной архивной службы Новосибирской области</w:t>
      </w:r>
    </w:p>
    <w:p w:rsidR="00AE342F" w:rsidRDefault="00D45807">
      <w:pPr>
        <w:pStyle w:val="30"/>
        <w:shd w:val="clear" w:color="auto" w:fill="auto"/>
      </w:pPr>
      <w:r>
        <w:t>за 2022 год</w:t>
      </w:r>
    </w:p>
    <w:p w:rsidR="00AE342F" w:rsidRDefault="00AE342F">
      <w:pPr>
        <w:pStyle w:val="30"/>
        <w:shd w:val="clear" w:color="auto" w:fill="auto"/>
      </w:pPr>
    </w:p>
    <w:p w:rsidR="00AE342F" w:rsidRDefault="00D45807">
      <w:pPr>
        <w:pStyle w:val="22"/>
        <w:tabs>
          <w:tab w:val="left" w:pos="562"/>
        </w:tabs>
        <w:spacing w:before="0" w:line="24" w:lineRule="atLeast"/>
        <w:ind w:firstLine="709"/>
      </w:pPr>
      <w:r>
        <w:t>В соответствии со статьей 44 Федерального закона от 31.07.2020 №</w:t>
      </w:r>
      <w:r>
        <w:rPr>
          <w:lang w:val="en-US"/>
        </w:rPr>
        <w:t> </w:t>
      </w:r>
      <w:r>
        <w:t>248</w:t>
      </w:r>
      <w:r>
        <w:rPr>
          <w:lang w:val="en-US"/>
        </w:rPr>
        <w:t> </w:t>
      </w:r>
      <w:r>
        <w:t xml:space="preserve">ФЗ «О государственном контроле (надзоре) и муниципальном контроле в Российской Федерации», </w:t>
      </w:r>
      <w:r>
        <w:rPr>
          <w:color w:val="auto"/>
        </w:rPr>
        <w:t xml:space="preserve">постановлением Правительства Российской Федерации </w:t>
      </w:r>
      <w:r>
        <w:t>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auto"/>
        </w:rPr>
        <w:t xml:space="preserve">, </w:t>
      </w:r>
      <w:r>
        <w:t>постановлением Правительства Новосибирской области от 20.09.2021 № 365-п «Об утверждении положения о региональном государственном контроле (надзоре) за соблюдением законодательства об архивном деле» и с учетом Методических рекомендаций по подготовке и проведению профилактических мероприятий, направленных на предупреждение нарушений обязательных требований, одобренных подкомиссией по совершенствованию контрольно-надзорных функций федеральных органов исполнительной власти при Правительственной комиссии по проведению административной реформы (пункт 3 раздел IV протокола заседания подкомиссии от 20.01.2017 № 1) (далее – Методические рекомендации), Стандарта комплексной профилактики рисков причинения вреда охраняемым законом ценностям, утвержденного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27.03.2018 № 2 (далее – Стандарт), управлением государственной архивной службы Новосибирской области (далее – управление) в 2022 году проведена работа по профилактике нарушений обязательных требований законодательства Российской Федерации, законов и иных нормативных правовых актов Новосибирской области об архивном деле в Новосибирской области.</w:t>
      </w:r>
    </w:p>
    <w:p w:rsidR="00AE342F" w:rsidRDefault="00D45807">
      <w:pPr>
        <w:pStyle w:val="22"/>
        <w:shd w:val="clear" w:color="auto" w:fill="auto"/>
        <w:spacing w:before="0" w:line="24" w:lineRule="atLeast"/>
        <w:ind w:firstLine="709"/>
      </w:pPr>
      <w:r>
        <w:t xml:space="preserve">В целях устранения условий, причин и факторов, способных привести к нарушениям обязательных требований в сфере архивного дела и (или) причинению вреда (ущерба) охраняемым законом ценностям и предупреждения нарушений юридическими лицами, органами государственной власти Новосибирской области и иными государственными органами Новосибирской области, органами местного самоуправления Новосибирской области, архивами, музеями, библиотеками, научными организациями, осуществляющими деятельность на территории Новосибирской области по хранению, комплектованию, учету и использованию документов Архивного фонда Российской Федерации и других архивных документов (далее – контролируемые </w:t>
      </w:r>
      <w:r>
        <w:lastRenderedPageBreak/>
        <w:t>лица) обязательных требований в сфере архивного дела, а также соблюдения требований вышеназванных нормативных правовых актов и положений Методических рекомендаций и Стандарта, издан приказ управления от 10.12.2021 № 156-од «Об утверждении Программы профилактики рисков причинения вреда (ущерба) охраняемым законом ценностям по региональному государственному контролю (надзору) за соблюдением законодательства об архивном деле, осуществляемому управлением государственной архивной службы Новосибирской области, на 2022 год».</w:t>
      </w:r>
    </w:p>
    <w:p w:rsidR="00AE342F" w:rsidRDefault="00D45807">
      <w:pPr>
        <w:pStyle w:val="22"/>
        <w:shd w:val="clear" w:color="auto" w:fill="auto"/>
        <w:spacing w:before="0" w:line="24" w:lineRule="atLeast"/>
        <w:ind w:firstLine="709"/>
        <w:rPr>
          <w:rFonts w:eastAsiaTheme="minorHAnsi"/>
          <w:lang w:eastAsia="en-US"/>
        </w:rPr>
      </w:pPr>
      <w:r>
        <w:rPr>
          <w:rFonts w:eastAsiaTheme="minorHAnsi"/>
          <w:lang w:eastAsia="en-US"/>
        </w:rPr>
        <w:t>Приложением к Программе профилактики рисков причинения вреда (ущерба) охраняемым законом ценностям по региональному государственному контролю (надзору) за соблюдением законодательства об архивном деле, осуществляемому управлением государственной архивной службы Новосибирской области, на 2022 год (далее – Программа профилактики рисков причинения вреда на 2022 год) является План</w:t>
      </w:r>
      <w:r>
        <w:t xml:space="preserve"> </w:t>
      </w:r>
      <w:r>
        <w:rPr>
          <w:rFonts w:eastAsiaTheme="minorHAnsi"/>
          <w:lang w:eastAsia="en-US"/>
        </w:rPr>
        <w:t xml:space="preserve">профилактических мероприятий, направленных на предупреждение нарушений контролируемыми лицами обязательных требований в сфере архивного дела, на 2022 год </w:t>
      </w:r>
      <w:r>
        <w:t>(далее – План-график на 2022 год).</w:t>
      </w:r>
    </w:p>
    <w:p w:rsidR="00AE342F" w:rsidRDefault="00D45807">
      <w:pPr>
        <w:pStyle w:val="a9"/>
        <w:spacing w:line="24" w:lineRule="atLeast"/>
        <w:ind w:left="0" w:firstLine="709"/>
        <w:jc w:val="both"/>
      </w:pPr>
      <w:r>
        <w:rPr>
          <w:rFonts w:eastAsiaTheme="minorHAnsi"/>
          <w:lang w:eastAsia="en-US"/>
        </w:rPr>
        <w:t>Программа профилактики рисков причинения вреда на 2022 год</w:t>
      </w:r>
      <w:r>
        <w:t xml:space="preserve"> предусматривала комплекс мер по </w:t>
      </w:r>
      <w:r>
        <w:rPr>
          <w:rFonts w:eastAsia="Calibri"/>
          <w:lang w:eastAsia="en-US"/>
        </w:rPr>
        <w:t xml:space="preserve">предупреждению </w:t>
      </w:r>
      <w:r>
        <w:t xml:space="preserve">(снижению) </w:t>
      </w:r>
      <w:r>
        <w:rPr>
          <w:rFonts w:eastAsia="Calibri"/>
          <w:lang w:eastAsia="en-US"/>
        </w:rPr>
        <w:t xml:space="preserve">нарушений контролируемыми лицами обязательных требований в сфере архивного дела, устранению причин, факторов и условий, способствующих нарушению обязательных требований в сфере архивного дела, </w:t>
      </w:r>
      <w:r>
        <w:t>повышению информированности контролируемых лиц, с указанием конкретного перечня мероприятий, подлежащих реализации в 2022 году.</w:t>
      </w:r>
    </w:p>
    <w:p w:rsidR="00AE342F" w:rsidRPr="00575169" w:rsidRDefault="00D45807">
      <w:pPr>
        <w:pStyle w:val="a9"/>
        <w:spacing w:line="24" w:lineRule="atLeast"/>
        <w:ind w:left="0" w:firstLine="709"/>
        <w:jc w:val="both"/>
      </w:pPr>
      <w:r w:rsidRPr="00575169">
        <w:t xml:space="preserve">Для решения задач и достижения целей </w:t>
      </w:r>
      <w:r w:rsidRPr="00575169">
        <w:rPr>
          <w:rFonts w:eastAsiaTheme="minorHAnsi"/>
          <w:lang w:eastAsia="en-US"/>
        </w:rPr>
        <w:t>Программы профилактики рисков причинения вреда на 2022 год были предусмотрены следующие виды профилактических мероприятий:</w:t>
      </w:r>
    </w:p>
    <w:p w:rsidR="00AE342F" w:rsidRPr="00575169" w:rsidRDefault="00D45807">
      <w:pPr>
        <w:pStyle w:val="a9"/>
        <w:spacing w:line="24" w:lineRule="atLeast"/>
        <w:ind w:left="0" w:firstLine="709"/>
        <w:jc w:val="both"/>
      </w:pPr>
      <w:r w:rsidRPr="00575169">
        <w:t>1) информирование контролируемых лиц;</w:t>
      </w:r>
    </w:p>
    <w:p w:rsidR="00AE342F" w:rsidRPr="00575169" w:rsidRDefault="00D45807">
      <w:pPr>
        <w:pStyle w:val="a9"/>
        <w:spacing w:line="24" w:lineRule="atLeast"/>
        <w:ind w:left="0" w:firstLine="709"/>
        <w:jc w:val="both"/>
      </w:pPr>
      <w:r w:rsidRPr="00575169">
        <w:t>2) обобщение правоприменительной практики управления;</w:t>
      </w:r>
    </w:p>
    <w:p w:rsidR="00AE342F" w:rsidRPr="00575169" w:rsidRDefault="00D45807">
      <w:pPr>
        <w:pStyle w:val="a9"/>
        <w:spacing w:line="24" w:lineRule="atLeast"/>
        <w:ind w:left="0" w:firstLine="709"/>
        <w:jc w:val="both"/>
      </w:pPr>
      <w:r w:rsidRPr="00575169">
        <w:t>3) объявление предостережений контролируемым лицам;</w:t>
      </w:r>
    </w:p>
    <w:p w:rsidR="00AE342F" w:rsidRPr="00575169" w:rsidRDefault="00D45807">
      <w:pPr>
        <w:pStyle w:val="a9"/>
        <w:spacing w:line="24" w:lineRule="atLeast"/>
        <w:ind w:left="0" w:firstLine="709"/>
        <w:jc w:val="both"/>
      </w:pPr>
      <w:r w:rsidRPr="00575169">
        <w:t xml:space="preserve">4) консультирование контролируемых лиц; </w:t>
      </w:r>
    </w:p>
    <w:p w:rsidR="00AE342F" w:rsidRPr="00575169" w:rsidRDefault="00D45807">
      <w:pPr>
        <w:pStyle w:val="a9"/>
        <w:spacing w:line="24" w:lineRule="atLeast"/>
        <w:ind w:left="0" w:firstLine="709"/>
        <w:jc w:val="both"/>
      </w:pPr>
      <w:r w:rsidRPr="00575169">
        <w:t>5) проведение профилактических визитов.</w:t>
      </w:r>
    </w:p>
    <w:p w:rsidR="00AE342F" w:rsidRPr="00575169" w:rsidRDefault="00D45807">
      <w:pPr>
        <w:pStyle w:val="22"/>
        <w:shd w:val="clear" w:color="auto" w:fill="auto"/>
        <w:spacing w:before="0" w:line="24" w:lineRule="atLeast"/>
        <w:ind w:firstLine="709"/>
      </w:pPr>
      <w:r w:rsidRPr="00575169">
        <w:rPr>
          <w:color w:val="auto"/>
        </w:rPr>
        <w:t xml:space="preserve">Анализ выполнения мероприятий </w:t>
      </w:r>
      <w:r w:rsidRPr="00575169">
        <w:rPr>
          <w:rFonts w:eastAsiaTheme="minorHAnsi"/>
          <w:lang w:eastAsia="en-US"/>
        </w:rPr>
        <w:t xml:space="preserve">Программы профилактики рисков причинения вреда на 2022 год </w:t>
      </w:r>
      <w:r w:rsidRPr="00575169">
        <w:t>показал следующее.</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bidi="ar-SA"/>
        </w:rPr>
      </w:pPr>
      <w:r w:rsidRPr="00575169">
        <w:rPr>
          <w:rFonts w:ascii="Times New Roman" w:eastAsiaTheme="minorHAnsi" w:hAnsi="Times New Roman" w:cs="Times New Roman"/>
          <w:b/>
          <w:color w:val="auto"/>
          <w:sz w:val="28"/>
          <w:szCs w:val="28"/>
          <w:lang w:eastAsia="en-US" w:bidi="ar-SA"/>
        </w:rPr>
        <w:t>1. Информирование контролируемых лиц</w:t>
      </w:r>
      <w:r w:rsidRPr="00575169">
        <w:rPr>
          <w:rFonts w:ascii="Times New Roman" w:eastAsiaTheme="minorHAnsi" w:hAnsi="Times New Roman" w:cs="Times New Roman"/>
          <w:color w:val="auto"/>
          <w:sz w:val="28"/>
          <w:szCs w:val="28"/>
          <w:lang w:eastAsia="en-US" w:bidi="ar-SA"/>
        </w:rPr>
        <w:t xml:space="preserve"> по вопросам соблюдения обязательных требований в сфере архивного дела осуществлялось по следующим направлениям.</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bidi="ar-SA"/>
        </w:rPr>
      </w:pPr>
      <w:r w:rsidRPr="00575169">
        <w:rPr>
          <w:rFonts w:ascii="Times New Roman" w:eastAsiaTheme="minorHAnsi" w:hAnsi="Times New Roman" w:cs="Times New Roman"/>
          <w:color w:val="auto"/>
          <w:sz w:val="28"/>
          <w:szCs w:val="28"/>
          <w:lang w:eastAsia="en-US" w:bidi="ar-SA"/>
        </w:rPr>
        <w:t xml:space="preserve">1) В </w:t>
      </w:r>
      <w:r w:rsidR="00413AC6">
        <w:rPr>
          <w:rFonts w:ascii="Times New Roman" w:eastAsiaTheme="minorHAnsi" w:hAnsi="Times New Roman" w:cs="Times New Roman"/>
          <w:color w:val="auto"/>
          <w:sz w:val="28"/>
          <w:szCs w:val="28"/>
          <w:lang w:eastAsia="en-US" w:bidi="ar-SA"/>
        </w:rPr>
        <w:t>2022</w:t>
      </w:r>
      <w:r w:rsidRPr="00575169">
        <w:rPr>
          <w:rFonts w:ascii="Times New Roman" w:eastAsiaTheme="minorHAnsi" w:hAnsi="Times New Roman" w:cs="Times New Roman"/>
          <w:color w:val="auto"/>
          <w:sz w:val="28"/>
          <w:szCs w:val="28"/>
          <w:lang w:eastAsia="en-US" w:bidi="ar-SA"/>
        </w:rPr>
        <w:t xml:space="preserve"> году обеспечено поддержание в актуальном состоянии Перечня нормативных правовых актов (их отдельных положений), содержащих обязательные требования в сфере архивного дела, оценка соблюдения которых осуществляется в рамках регионального государственного контроля (надзора) за соблюдением законодательства об архивном деле (далее – </w:t>
      </w:r>
      <w:r w:rsidRPr="00575169">
        <w:rPr>
          <w:rFonts w:ascii="Times New Roman" w:eastAsiaTheme="minorHAnsi" w:hAnsi="Times New Roman" w:cs="Times New Roman"/>
          <w:color w:val="auto"/>
          <w:sz w:val="28"/>
          <w:szCs w:val="28"/>
          <w:lang w:eastAsia="en-US"/>
        </w:rPr>
        <w:t>Перечень</w:t>
      </w:r>
      <w:r w:rsidRPr="00575169">
        <w:rPr>
          <w:rFonts w:ascii="Times New Roman" w:eastAsia="Times New Roman" w:hAnsi="Times New Roman" w:cs="Times New Roman"/>
          <w:sz w:val="28"/>
          <w:szCs w:val="28"/>
        </w:rPr>
        <w:t xml:space="preserve"> нормативных правовых актов),</w:t>
      </w:r>
      <w:r w:rsidRPr="00575169">
        <w:rPr>
          <w:rFonts w:ascii="Times New Roman" w:eastAsiaTheme="minorHAnsi" w:hAnsi="Times New Roman" w:cs="Times New Roman"/>
          <w:color w:val="auto"/>
          <w:sz w:val="28"/>
          <w:szCs w:val="28"/>
          <w:lang w:eastAsia="en-US"/>
        </w:rPr>
        <w:t xml:space="preserve"> </w:t>
      </w:r>
      <w:r w:rsidRPr="00575169">
        <w:rPr>
          <w:rFonts w:ascii="Times New Roman" w:eastAsiaTheme="minorHAnsi" w:hAnsi="Times New Roman" w:cs="Times New Roman"/>
          <w:color w:val="auto"/>
          <w:sz w:val="28"/>
          <w:szCs w:val="28"/>
          <w:lang w:eastAsia="en-US" w:bidi="ar-SA"/>
        </w:rPr>
        <w:t xml:space="preserve">утвержденного приказом управления от 30.09.2021 № 122-од. Данный документ содержит также </w:t>
      </w:r>
      <w:r w:rsidRPr="00575169">
        <w:rPr>
          <w:rFonts w:ascii="Times New Roman" w:eastAsiaTheme="minorHAnsi" w:hAnsi="Times New Roman" w:cs="Times New Roman"/>
          <w:color w:val="auto"/>
          <w:sz w:val="28"/>
          <w:szCs w:val="28"/>
          <w:lang w:eastAsia="en-US"/>
        </w:rPr>
        <w:t xml:space="preserve">информацию о мерах </w:t>
      </w:r>
      <w:r w:rsidRPr="00575169">
        <w:rPr>
          <w:rFonts w:ascii="Times New Roman" w:eastAsiaTheme="minorHAnsi" w:hAnsi="Times New Roman" w:cs="Times New Roman"/>
          <w:color w:val="auto"/>
          <w:sz w:val="28"/>
          <w:szCs w:val="28"/>
          <w:lang w:eastAsia="en-US"/>
        </w:rPr>
        <w:lastRenderedPageBreak/>
        <w:t>ответственности, применяемых при нарушении обязательных требований контролируемыми лицами.</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imes New Roman" w:hAnsi="Times New Roman" w:cs="Times New Roman"/>
          <w:sz w:val="28"/>
          <w:szCs w:val="28"/>
        </w:rPr>
        <w:t xml:space="preserve">В Перечень нормативных правовых актов внесены изменения в части дополнения гиперссылками на утвержденные проверочные листы в формате, допускающем их использование для самообследования </w:t>
      </w:r>
      <w:r w:rsidRPr="00575169">
        <w:rPr>
          <w:rFonts w:ascii="Times New Roman" w:eastAsiaTheme="minorHAnsi" w:hAnsi="Times New Roman" w:cs="Times New Roman"/>
          <w:color w:val="auto"/>
          <w:sz w:val="28"/>
          <w:szCs w:val="28"/>
          <w:lang w:eastAsia="en-US"/>
        </w:rPr>
        <w:t xml:space="preserve">(приказ управления от 04.05.2022 № 27-од). Помимо этого, </w:t>
      </w:r>
      <w:r w:rsidRPr="00575169">
        <w:rPr>
          <w:rFonts w:ascii="Times New Roman" w:hAnsi="Times New Roman" w:cs="Times New Roman"/>
          <w:sz w:val="28"/>
          <w:szCs w:val="28"/>
        </w:rPr>
        <w:t xml:space="preserve">внесены изменения (приказ от 30.12.2022 № 120-од) в части дополнения гиперссылками на утвержденное 13 декабря 2022 года Руководство по соблюдению обязательных требований при осуществлении регионального государственного контроля (надзора) за соблюдением законодательства об архивном деле (далее – Руководство Росархива). </w:t>
      </w:r>
      <w:r w:rsidRPr="00575169">
        <w:rPr>
          <w:rFonts w:ascii="Times New Roman" w:eastAsiaTheme="minorHAnsi" w:hAnsi="Times New Roman" w:cs="Times New Roman"/>
          <w:color w:val="auto"/>
          <w:sz w:val="28"/>
          <w:szCs w:val="28"/>
          <w:lang w:eastAsia="en-US"/>
        </w:rPr>
        <w:t>Перечень</w:t>
      </w:r>
      <w:r w:rsidRPr="00575169">
        <w:rPr>
          <w:rFonts w:ascii="Times New Roman" w:eastAsia="Times New Roman" w:hAnsi="Times New Roman" w:cs="Times New Roman"/>
          <w:sz w:val="28"/>
          <w:szCs w:val="28"/>
        </w:rPr>
        <w:t xml:space="preserve"> нормативных правовых актов</w:t>
      </w:r>
      <w:r w:rsidRPr="00575169">
        <w:rPr>
          <w:rFonts w:ascii="Times New Roman" w:eastAsiaTheme="minorHAnsi" w:hAnsi="Times New Roman" w:cs="Times New Roman"/>
          <w:color w:val="auto"/>
          <w:sz w:val="28"/>
          <w:szCs w:val="28"/>
          <w:lang w:eastAsia="en-US"/>
        </w:rPr>
        <w:t xml:space="preserve"> в последней редакции размещен на официальном сайте управления в информационно-телекоммуникационной сети «Интернет» (http://www.archives.nso.ru) (далее – официальный сайт управления) в разделе «Деятельность/Контрольно-надзорная деятельность/Перечень обязательных требований»;</w:t>
      </w:r>
    </w:p>
    <w:p w:rsidR="00AE342F" w:rsidRPr="00575169" w:rsidRDefault="00D45807">
      <w:pPr>
        <w:widowControl/>
        <w:spacing w:line="24" w:lineRule="atLeast"/>
        <w:ind w:firstLine="709"/>
        <w:jc w:val="both"/>
        <w:rPr>
          <w:rFonts w:ascii="Times New Roman" w:eastAsia="Times New Roman" w:hAnsi="Times New Roman" w:cs="Times New Roman"/>
          <w:color w:val="auto"/>
          <w:sz w:val="28"/>
          <w:szCs w:val="28"/>
          <w:lang w:bidi="ar-SA"/>
        </w:rPr>
      </w:pPr>
      <w:r w:rsidRPr="00575169">
        <w:rPr>
          <w:rFonts w:ascii="Times New Roman" w:eastAsiaTheme="minorHAnsi" w:hAnsi="Times New Roman" w:cs="Times New Roman"/>
          <w:color w:val="auto"/>
          <w:sz w:val="28"/>
          <w:szCs w:val="28"/>
          <w:lang w:eastAsia="en-US"/>
        </w:rPr>
        <w:t>2) Во исполнение постановления Губернатора Новосибирской области от 28.07.2022 № 136 «О Порядке установления и оценки применения обязательных требований, содержащихся в нормативных правовых актах Новосибирской области, в том числе оценки фактического воздействия указанных нормативных правовых актов Новосибирской области» и в целях обеспечения систематизации обязательных требований, содержащихся в нормативных правовых актах Новосибирской области, установивших их, а также информирования контролируемых лиц об обязательных требованиях, управлением подготовлен и утвержден приказом от 07.09.2022 № 58 </w:t>
      </w:r>
      <w:r w:rsidRPr="00575169">
        <w:rPr>
          <w:rFonts w:ascii="Times New Roman" w:eastAsiaTheme="minorHAnsi" w:hAnsi="Times New Roman" w:cs="Times New Roman"/>
          <w:color w:val="auto"/>
          <w:sz w:val="28"/>
          <w:szCs w:val="28"/>
          <w:lang w:eastAsia="en-US"/>
        </w:rPr>
        <w:noBreakHyphen/>
        <w:t> од</w:t>
      </w:r>
      <w:r w:rsidRPr="00575169">
        <w:rPr>
          <w:rFonts w:ascii="Times New Roman" w:hAnsi="Times New Roman" w:cs="Times New Roman"/>
          <w:color w:val="auto"/>
          <w:sz w:val="28"/>
          <w:szCs w:val="28"/>
        </w:rPr>
        <w:t xml:space="preserve"> Реестр обязательных требований, проверка соблюдения которых осуществляется в рамках контроля в сфере архивного дела</w:t>
      </w:r>
      <w:r w:rsidRPr="00575169">
        <w:rPr>
          <w:rFonts w:ascii="Times New Roman" w:eastAsiaTheme="minorHAnsi" w:hAnsi="Times New Roman" w:cs="Times New Roman"/>
          <w:color w:val="auto"/>
          <w:sz w:val="28"/>
          <w:szCs w:val="28"/>
          <w:lang w:eastAsia="en-US"/>
        </w:rPr>
        <w:t xml:space="preserve">. </w:t>
      </w:r>
      <w:r w:rsidRPr="00575169">
        <w:rPr>
          <w:rFonts w:ascii="Times New Roman" w:eastAsia="Times New Roman" w:hAnsi="Times New Roman" w:cs="Times New Roman"/>
          <w:color w:val="auto"/>
          <w:sz w:val="28"/>
          <w:szCs w:val="28"/>
          <w:lang w:bidi="ar-SA"/>
        </w:rPr>
        <w:t>Указанный Реестр содержит обязательные требования, установленные в региональном законодательстве – Законе Новосибирской области от 26.09.2005 № 315-ОЗ «Об архивном деле в Новосибирской области». Документ размещен на официальном сайте управления в разделе «Деятельность/Контрольно-надзорная деятельность/Обязательные требования»;</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xml:space="preserve">3) В соответствии с пунктом 8.2.2. раздела III Методических рекомендаций и пунктом 2 Плана-графика на 2022 год на официальном сайте управления в разделе «Деятельность/Контрольно-надзорная деятельность/Публичные обсуждения правоприменительной практики/ «Белая книга» размещена информация (разъяснения) о внесении изменений в отдельные законодательные акты Российской Федерации и Новосибирской области, содержащие обязательные требования в сфере архивного дела. В связи с изданием новых нормативных правовых актов в течение отчетного периода в указанном разделе размещено 4 информации о внесенных изменениях в действующие акты, сроках и порядке их вступления в действие, в том числе в Федеральный закон от 22.10.2004 № 125-ФЗ «Об архивном деле в Российской Федерации» (2 информации), в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w:t>
      </w:r>
      <w:r w:rsidRPr="00575169">
        <w:rPr>
          <w:rFonts w:ascii="Times New Roman" w:eastAsiaTheme="minorHAnsi" w:hAnsi="Times New Roman" w:cs="Times New Roman"/>
          <w:color w:val="auto"/>
          <w:sz w:val="28"/>
          <w:szCs w:val="28"/>
          <w:lang w:eastAsia="en-US"/>
        </w:rPr>
        <w:lastRenderedPageBreak/>
        <w:t>музеях и библиотеках, научных организациях, утвержденные приказом Росархива от 02.03.2020 № 24, в Закон Новосибирской области от 26.09.2005 № 315-ОЗ «Об архивном деле в Новосибирской области».</w:t>
      </w:r>
    </w:p>
    <w:p w:rsidR="00AE342F" w:rsidRPr="00575169" w:rsidRDefault="00D45807">
      <w:pPr>
        <w:widowControl/>
        <w:shd w:val="clear" w:color="auto" w:fill="FFFFFF"/>
        <w:spacing w:line="24" w:lineRule="atLeast"/>
        <w:ind w:firstLine="709"/>
        <w:jc w:val="both"/>
        <w:rPr>
          <w:rFonts w:ascii="Times New Roman" w:eastAsia="Times New Roman" w:hAnsi="Times New Roman" w:cs="Times New Roman"/>
          <w:color w:val="auto"/>
          <w:sz w:val="28"/>
          <w:szCs w:val="28"/>
          <w:lang w:bidi="ar-SA"/>
        </w:rPr>
      </w:pPr>
      <w:r w:rsidRPr="00575169">
        <w:rPr>
          <w:rFonts w:ascii="Times New Roman" w:eastAsia="Times New Roman" w:hAnsi="Times New Roman" w:cs="Times New Roman"/>
          <w:color w:val="auto"/>
          <w:sz w:val="28"/>
          <w:szCs w:val="28"/>
          <w:lang w:bidi="ar-SA"/>
        </w:rPr>
        <w:t>На основании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на проведение плановых контрольных (надзорных) мероприятий в 2022 году введен мораторий, а также сроки исполнения предписаний об устранении выявленных нарушений обязательных требований автоматически продлены на 90 календарных дней со дня истечения срока их исполнения, а затем по ходатайствам контролируемых лиц, сроки исполнения дополнительно продлены до года.</w:t>
      </w:r>
    </w:p>
    <w:p w:rsidR="00480B4B" w:rsidRPr="00575169" w:rsidRDefault="00D45807">
      <w:pPr>
        <w:widowControl/>
        <w:shd w:val="clear" w:color="auto" w:fill="FFFFFF"/>
        <w:spacing w:line="24" w:lineRule="atLeast"/>
        <w:ind w:firstLine="709"/>
        <w:jc w:val="both"/>
        <w:rPr>
          <w:rFonts w:ascii="Times New Roman" w:eastAsia="Times New Roman" w:hAnsi="Times New Roman" w:cs="Times New Roman"/>
          <w:color w:val="auto"/>
          <w:sz w:val="28"/>
          <w:szCs w:val="28"/>
          <w:lang w:bidi="ar-SA"/>
        </w:rPr>
      </w:pPr>
      <w:r w:rsidRPr="00575169">
        <w:rPr>
          <w:rFonts w:ascii="Times New Roman" w:eastAsia="Times New Roman" w:hAnsi="Times New Roman" w:cs="Times New Roman"/>
          <w:color w:val="auto"/>
          <w:sz w:val="28"/>
          <w:szCs w:val="28"/>
          <w:lang w:bidi="ar-SA"/>
        </w:rPr>
        <w:t>В связи с чем, управлением обеспечено проведение информационной компании о моратории на проведение плановых и внеплановых проверок контролируемых лиц. Подготовлен пресс-релиз об особенностях осуществления контрольной (надзорной) и разрешительной деятельности на 2022 год</w:t>
      </w:r>
      <w:r w:rsidR="00480B4B" w:rsidRPr="00575169">
        <w:rPr>
          <w:rFonts w:ascii="Times New Roman" w:eastAsia="Times New Roman" w:hAnsi="Times New Roman" w:cs="Times New Roman"/>
          <w:color w:val="auto"/>
          <w:sz w:val="28"/>
          <w:szCs w:val="28"/>
          <w:lang w:bidi="ar-SA"/>
        </w:rPr>
        <w:t xml:space="preserve"> и другие информационные документы (всего 11)</w:t>
      </w:r>
      <w:r w:rsidRPr="00575169">
        <w:rPr>
          <w:rFonts w:ascii="Times New Roman" w:eastAsia="Times New Roman" w:hAnsi="Times New Roman" w:cs="Times New Roman"/>
          <w:color w:val="auto"/>
          <w:sz w:val="28"/>
          <w:szCs w:val="28"/>
          <w:lang w:bidi="ar-SA"/>
        </w:rPr>
        <w:t>. Материалы, касающиеся деятельности управления в условиях моратория, размещены на официальном сайте управления в разделе «Деятельность/Контрольно-надзорная деятельность» в специальной вкладке «Мораторий 2022».</w:t>
      </w:r>
    </w:p>
    <w:p w:rsidR="00AE342F" w:rsidRPr="00575169" w:rsidRDefault="00480B4B">
      <w:pPr>
        <w:widowControl/>
        <w:shd w:val="clear" w:color="auto" w:fill="FFFFFF"/>
        <w:spacing w:line="24" w:lineRule="atLeast"/>
        <w:ind w:firstLine="709"/>
        <w:jc w:val="both"/>
        <w:rPr>
          <w:rFonts w:ascii="Times New Roman" w:eastAsia="Times New Roman" w:hAnsi="Times New Roman" w:cs="Times New Roman"/>
          <w:color w:val="auto"/>
          <w:sz w:val="28"/>
          <w:szCs w:val="28"/>
          <w:lang w:bidi="ar-SA"/>
        </w:rPr>
      </w:pPr>
      <w:r w:rsidRPr="00575169">
        <w:rPr>
          <w:rFonts w:ascii="Times New Roman" w:eastAsia="Times New Roman" w:hAnsi="Times New Roman" w:cs="Times New Roman"/>
          <w:color w:val="auto"/>
          <w:sz w:val="28"/>
          <w:szCs w:val="28"/>
          <w:lang w:bidi="ar-SA"/>
        </w:rPr>
        <w:t xml:space="preserve">Кроме того, </w:t>
      </w:r>
      <w:r w:rsidR="00D45807" w:rsidRPr="00575169">
        <w:rPr>
          <w:rFonts w:ascii="Times New Roman" w:eastAsia="Times New Roman" w:hAnsi="Times New Roman" w:cs="Times New Roman"/>
          <w:color w:val="auto"/>
          <w:sz w:val="28"/>
          <w:szCs w:val="28"/>
          <w:lang w:bidi="ar-SA"/>
        </w:rPr>
        <w:t>опубликовано 11 материалов: 5 информаций о проведении контрольных (надзорных) мероприятий, 4 информации о результатах проведенных контрольных (надзорных) мероприятий, 1 информация о признании утратившим силу решения о проведении проверки, 1 информация об отмене плановых контрольных (надзорных) мероприятий;</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4) В 2022 году согласно пункту 3 Плана-графика на 2022 год обеспечено размещение на официальном сайте управления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в сфере архивного дела), допускающих их использование для самообследования (утверждены приказом управления от 30.11.2021 № 153-од) в разделе «Деятельность/Контрольно-надзорная деятельность/ Проверки. Индикаторы и категории риска. Проверочные листы».</w:t>
      </w:r>
    </w:p>
    <w:p w:rsidR="00AE342F" w:rsidRPr="00575169" w:rsidRDefault="00D45807">
      <w:pPr>
        <w:widowControl/>
        <w:spacing w:line="24" w:lineRule="atLeast"/>
        <w:ind w:firstLine="709"/>
        <w:jc w:val="both"/>
        <w:rPr>
          <w:rFonts w:ascii="Times New Roman" w:eastAsia="Times New Roman" w:hAnsi="Times New Roman" w:cs="Times New Roman"/>
          <w:color w:val="auto"/>
          <w:sz w:val="28"/>
          <w:szCs w:val="28"/>
          <w:lang w:bidi="ar-SA"/>
        </w:rPr>
      </w:pPr>
      <w:r w:rsidRPr="00575169">
        <w:rPr>
          <w:rFonts w:ascii="Times New Roman" w:eastAsia="Times New Roman" w:hAnsi="Times New Roman" w:cs="Times New Roman"/>
          <w:color w:val="auto"/>
          <w:sz w:val="28"/>
          <w:szCs w:val="28"/>
          <w:lang w:bidi="ar-SA"/>
        </w:rPr>
        <w:t>Продолжалось поддержание на официальном сайте управления сервиса для проведения контролируемыми лицами самостоятельной оценки соблюдения обязательных требований по проверочным листам, позволяющий не только ответить на вопрос о соблюдении или несоблюдении нормы, но и ознакомиться с ней посредством доступа к нормативному правовому акту, устанавливающему соответствующее обязательное требование. Выбор одного из вариантов ответа позволяет получить доступ к полному тексту соответствующего акта для просмотра в форматах, доступных для скачивания и пригодных для обработки в текстовых редакторах. Данный сервис размещен в разделе «Деятельность/Контрольно-надзорная деятельность/Проверки. Индикаторы и категории риска. Проверочные листы» и представлен на главной странице официального сайта управления в виде баннера.</w:t>
      </w:r>
    </w:p>
    <w:p w:rsidR="00AE342F" w:rsidRPr="00575169" w:rsidRDefault="00D45807">
      <w:pPr>
        <w:widowControl/>
        <w:spacing w:line="24" w:lineRule="atLeast"/>
        <w:ind w:firstLine="709"/>
        <w:jc w:val="both"/>
        <w:rPr>
          <w:rFonts w:ascii="Times New Roman" w:eastAsia="Times New Roman" w:hAnsi="Times New Roman" w:cs="Times New Roman"/>
          <w:color w:val="auto"/>
          <w:sz w:val="28"/>
          <w:szCs w:val="28"/>
          <w:lang w:bidi="ar-SA"/>
        </w:rPr>
      </w:pPr>
      <w:r w:rsidRPr="00575169">
        <w:rPr>
          <w:rFonts w:ascii="Times New Roman" w:eastAsia="Times New Roman" w:hAnsi="Times New Roman" w:cs="Times New Roman"/>
          <w:color w:val="auto"/>
          <w:sz w:val="28"/>
          <w:szCs w:val="28"/>
          <w:lang w:bidi="ar-SA"/>
        </w:rPr>
        <w:lastRenderedPageBreak/>
        <w:t xml:space="preserve">Управлением в 2022 году к проверочным листам дополнительно размещены в указанных выше форматах </w:t>
      </w:r>
      <w:r w:rsidRPr="00575169">
        <w:rPr>
          <w:rFonts w:ascii="Times New Roman" w:eastAsiaTheme="minorHAnsi" w:hAnsi="Times New Roman" w:cs="Times New Roman"/>
          <w:color w:val="auto"/>
          <w:sz w:val="28"/>
          <w:szCs w:val="28"/>
          <w:lang w:eastAsia="en-US"/>
        </w:rPr>
        <w:t>м</w:t>
      </w:r>
      <w:hyperlink r:id="rId8" w:history="1">
        <w:r w:rsidRPr="00575169">
          <w:rPr>
            <w:rFonts w:ascii="Times New Roman" w:eastAsiaTheme="minorHAnsi" w:hAnsi="Times New Roman" w:cs="Times New Roman"/>
            <w:color w:val="auto"/>
            <w:sz w:val="28"/>
            <w:szCs w:val="28"/>
            <w:lang w:eastAsia="en-US"/>
          </w:rPr>
          <w:t>етодические рекомендации к Правилам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hyperlink>
      <w:r w:rsidRPr="00575169">
        <w:rPr>
          <w:rFonts w:ascii="Times New Roman" w:eastAsiaTheme="minorHAnsi" w:hAnsi="Times New Roman" w:cs="Times New Roman"/>
          <w:color w:val="auto"/>
          <w:sz w:val="28"/>
          <w:szCs w:val="28"/>
          <w:lang w:eastAsia="en-US"/>
        </w:rPr>
        <w:t xml:space="preserve"> и </w:t>
      </w:r>
      <w:hyperlink r:id="rId9" w:history="1">
        <w:r w:rsidRPr="00575169">
          <w:rPr>
            <w:rFonts w:ascii="Times New Roman" w:eastAsiaTheme="minorHAnsi" w:hAnsi="Times New Roman" w:cs="Times New Roman"/>
            <w:color w:val="auto"/>
            <w:sz w:val="28"/>
            <w:szCs w:val="28"/>
            <w:lang w:eastAsia="en-US"/>
          </w:rPr>
          <w:t>методические рекомендации по применению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hyperlink>
      <w:r w:rsidRPr="00575169">
        <w:rPr>
          <w:rFonts w:ascii="Times New Roman" w:eastAsia="Times New Roman" w:hAnsi="Times New Roman" w:cs="Times New Roman"/>
          <w:color w:val="auto"/>
          <w:sz w:val="28"/>
          <w:szCs w:val="28"/>
          <w:lang w:bidi="ar-SA"/>
        </w:rPr>
        <w:t>, что максимально удобно для контролируемых лиц;</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imes New Roman" w:hAnsi="Times New Roman" w:cs="Times New Roman"/>
          <w:color w:val="auto"/>
          <w:sz w:val="28"/>
          <w:szCs w:val="28"/>
          <w:lang w:bidi="ar-SA"/>
        </w:rPr>
        <w:t>5) </w:t>
      </w:r>
      <w:r w:rsidRPr="00575169">
        <w:rPr>
          <w:rFonts w:ascii="Times New Roman" w:eastAsiaTheme="minorHAnsi" w:hAnsi="Times New Roman" w:cs="Times New Roman"/>
          <w:color w:val="auto"/>
          <w:sz w:val="28"/>
          <w:szCs w:val="28"/>
          <w:lang w:eastAsia="en-US"/>
        </w:rPr>
        <w:t>В соответствии с пунктом 4 Плана-графика на 2022 год на официальном сайте управления в разделе «Деятельность/Контрольно-надзорная деятельность/Публичные обсуждения правоприменительной практики/«Белая книга» размещено Руководство по соблюдению обязательных требований, установленных законодательством об архивном деле, утвержденное приказом управления от 20.07.2020 № 90-од (в редакции приказа от 11.11.2020 № 111-од). Изменения и дополнения в Руководство в 2022 году не вносились.</w:t>
      </w:r>
    </w:p>
    <w:p w:rsidR="00AE342F" w:rsidRPr="00575169" w:rsidRDefault="00D45807">
      <w:pPr>
        <w:spacing w:line="24" w:lineRule="atLeast"/>
        <w:ind w:firstLine="709"/>
        <w:jc w:val="both"/>
        <w:rPr>
          <w:rFonts w:ascii="Times New Roman" w:hAnsi="Times New Roman" w:cs="Times New Roman"/>
          <w:sz w:val="28"/>
          <w:szCs w:val="28"/>
        </w:rPr>
      </w:pPr>
      <w:r w:rsidRPr="00575169">
        <w:rPr>
          <w:rFonts w:ascii="Times New Roman" w:hAnsi="Times New Roman" w:cs="Times New Roman"/>
          <w:sz w:val="28"/>
          <w:szCs w:val="28"/>
        </w:rPr>
        <w:t xml:space="preserve">В декабре 2022 года на </w:t>
      </w:r>
      <w:r w:rsidRPr="00575169">
        <w:rPr>
          <w:rFonts w:ascii="Times New Roman" w:eastAsiaTheme="minorHAnsi" w:hAnsi="Times New Roman" w:cs="Times New Roman"/>
          <w:color w:val="auto"/>
          <w:sz w:val="28"/>
          <w:szCs w:val="28"/>
          <w:lang w:eastAsia="en-US"/>
        </w:rPr>
        <w:t>официальном сайте управления</w:t>
      </w:r>
      <w:r w:rsidRPr="00575169">
        <w:rPr>
          <w:rFonts w:ascii="Times New Roman" w:hAnsi="Times New Roman" w:cs="Times New Roman"/>
          <w:sz w:val="28"/>
          <w:szCs w:val="28"/>
        </w:rPr>
        <w:t xml:space="preserve"> в названном разделе дополнительно размещено Руководство Росархива.</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xml:space="preserve">6) Также в целях информированности подконтрольных субъектов на официальном сайте управления в разделе «Деятельность/Контрольно-надзорная деятельность/ </w:t>
      </w:r>
      <w:hyperlink r:id="rId10" w:history="1">
        <w:r w:rsidRPr="00575169">
          <w:rPr>
            <w:rFonts w:ascii="Times New Roman" w:eastAsiaTheme="minorHAnsi" w:hAnsi="Times New Roman" w:cs="Times New Roman"/>
            <w:color w:val="auto"/>
            <w:sz w:val="28"/>
            <w:szCs w:val="28"/>
            <w:lang w:eastAsia="en-US"/>
          </w:rPr>
          <w:t>Публичные обсуждения правоприменительной практики</w:t>
        </w:r>
      </w:hyperlink>
      <w:r w:rsidRPr="00575169">
        <w:rPr>
          <w:rFonts w:ascii="Times New Roman" w:eastAsiaTheme="minorHAnsi" w:hAnsi="Times New Roman" w:cs="Times New Roman"/>
          <w:color w:val="auto"/>
          <w:sz w:val="28"/>
          <w:szCs w:val="28"/>
          <w:lang w:eastAsia="en-US"/>
        </w:rPr>
        <w:t>/«Белая книга» размещены:</w:t>
      </w:r>
    </w:p>
    <w:p w:rsidR="00AE342F" w:rsidRPr="00575169" w:rsidRDefault="00D45807">
      <w:pPr>
        <w:widowControl/>
        <w:spacing w:line="24" w:lineRule="atLeast"/>
        <w:ind w:firstLine="709"/>
        <w:jc w:val="both"/>
        <w:rPr>
          <w:rFonts w:ascii="Times New Roman" w:hAnsi="Times New Roman"/>
          <w:color w:val="auto"/>
          <w:sz w:val="28"/>
          <w:szCs w:val="28"/>
        </w:rPr>
      </w:pPr>
      <w:r w:rsidRPr="00575169">
        <w:rPr>
          <w:rFonts w:ascii="Times New Roman" w:eastAsiaTheme="minorHAnsi" w:hAnsi="Times New Roman" w:cs="Times New Roman"/>
          <w:color w:val="auto"/>
          <w:sz w:val="28"/>
          <w:szCs w:val="28"/>
          <w:lang w:eastAsia="en-US"/>
        </w:rPr>
        <w:t>– м</w:t>
      </w:r>
      <w:hyperlink r:id="rId11" w:history="1">
        <w:r w:rsidRPr="00575169">
          <w:rPr>
            <w:rFonts w:ascii="Times New Roman" w:eastAsiaTheme="minorHAnsi" w:hAnsi="Times New Roman" w:cs="Times New Roman"/>
            <w:color w:val="auto"/>
            <w:sz w:val="28"/>
            <w:szCs w:val="28"/>
            <w:lang w:eastAsia="en-US"/>
          </w:rPr>
          <w:t>етодические рекомендации к Правилам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hyperlink>
      <w:r w:rsidRPr="00575169">
        <w:rPr>
          <w:rFonts w:ascii="Times New Roman" w:eastAsiaTheme="minorHAnsi" w:hAnsi="Times New Roman" w:cs="Times New Roman"/>
          <w:color w:val="auto"/>
          <w:sz w:val="28"/>
          <w:szCs w:val="28"/>
          <w:lang w:eastAsia="en-US"/>
        </w:rPr>
        <w:t>;</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w:t>
      </w:r>
      <w:r w:rsidRPr="00575169">
        <w:rPr>
          <w:rFonts w:ascii="Times New Roman" w:eastAsiaTheme="minorHAnsi" w:hAnsi="Times New Roman" w:cs="Times New Roman"/>
          <w:color w:val="auto"/>
          <w:sz w:val="28"/>
          <w:szCs w:val="28"/>
          <w:lang w:eastAsia="en-US"/>
        </w:rPr>
        <w:fldChar w:fldCharType="begin"/>
      </w:r>
      <w:r w:rsidRPr="00575169">
        <w:rPr>
          <w:rFonts w:ascii="Times New Roman" w:eastAsiaTheme="minorHAnsi" w:hAnsi="Times New Roman" w:cs="Times New Roman"/>
          <w:color w:val="auto"/>
          <w:sz w:val="28"/>
          <w:szCs w:val="28"/>
          <w:lang w:eastAsia="en-US"/>
        </w:rPr>
        <w:instrText xml:space="preserve"> HYPERLINK "http://archives.nso.ru/sites/archives.nso.ru/wodby_files/files/page_1913/metodicheskie_rekomendacii_k_pravilam_2015.pdf" </w:instrText>
      </w:r>
      <w:r w:rsidRPr="00575169">
        <w:rPr>
          <w:rFonts w:ascii="Times New Roman" w:eastAsiaTheme="minorHAnsi" w:hAnsi="Times New Roman" w:cs="Times New Roman"/>
          <w:color w:val="auto"/>
          <w:sz w:val="28"/>
          <w:szCs w:val="28"/>
          <w:lang w:eastAsia="en-US"/>
        </w:rPr>
        <w:fldChar w:fldCharType="separate"/>
      </w:r>
      <w:r w:rsidRPr="00575169">
        <w:rPr>
          <w:rFonts w:ascii="Times New Roman" w:eastAsiaTheme="minorHAnsi" w:hAnsi="Times New Roman" w:cs="Times New Roman"/>
          <w:color w:val="auto"/>
          <w:sz w:val="28"/>
          <w:szCs w:val="28"/>
          <w:lang w:eastAsia="en-US"/>
        </w:rPr>
        <w:t>методические рекомендации по применению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fldChar w:fldCharType="end"/>
      </w:r>
      <w:r w:rsidRPr="00575169">
        <w:rPr>
          <w:rFonts w:ascii="Times New Roman" w:eastAsiaTheme="minorHAnsi" w:hAnsi="Times New Roman" w:cs="Times New Roman"/>
          <w:color w:val="auto"/>
          <w:sz w:val="28"/>
          <w:szCs w:val="28"/>
          <w:lang w:eastAsia="en-US"/>
        </w:rPr>
        <w:t>– </w:t>
      </w:r>
      <w:hyperlink r:id="rId12" w:history="1">
        <w:r w:rsidRPr="00575169">
          <w:rPr>
            <w:rFonts w:ascii="Times New Roman" w:eastAsiaTheme="minorHAnsi" w:hAnsi="Times New Roman" w:cs="Times New Roman"/>
            <w:color w:val="auto"/>
            <w:sz w:val="28"/>
            <w:szCs w:val="28"/>
            <w:lang w:eastAsia="en-US"/>
          </w:rPr>
          <w:t>методические рекомендации по применению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hyperlink>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м</w:t>
      </w:r>
      <w:hyperlink r:id="rId13" w:history="1">
        <w:r w:rsidRPr="00575169">
          <w:rPr>
            <w:rFonts w:ascii="Times New Roman" w:eastAsiaTheme="minorHAnsi" w:hAnsi="Times New Roman" w:cs="Times New Roman"/>
            <w:color w:val="auto"/>
            <w:sz w:val="28"/>
            <w:szCs w:val="28"/>
            <w:lang w:eastAsia="en-US"/>
          </w:rPr>
          <w:t>етодические рекомендации по составлению и оформлению описей дел постоянного хранения и по личному составу и научно-справочного аппарата к ним (с образцами оформления:</w:t>
        </w:r>
      </w:hyperlink>
      <w:r w:rsidRPr="00575169">
        <w:rPr>
          <w:rFonts w:ascii="Times New Roman" w:eastAsiaTheme="minorHAnsi" w:hAnsi="Times New Roman" w:cs="Times New Roman"/>
          <w:color w:val="auto"/>
          <w:sz w:val="28"/>
          <w:szCs w:val="28"/>
          <w:lang w:eastAsia="en-US"/>
        </w:rPr>
        <w:t xml:space="preserve"> </w:t>
      </w:r>
      <w:hyperlink r:id="rId14" w:history="1">
        <w:r w:rsidRPr="00575169">
          <w:rPr>
            <w:rFonts w:ascii="Times New Roman" w:eastAsiaTheme="minorHAnsi" w:hAnsi="Times New Roman" w:cs="Times New Roman"/>
            <w:color w:val="auto"/>
            <w:sz w:val="28"/>
            <w:szCs w:val="28"/>
            <w:lang w:eastAsia="en-US"/>
          </w:rPr>
          <w:t>описи дел постоянного хранения;</w:t>
        </w:r>
      </w:hyperlink>
      <w:hyperlink r:id="rId15" w:history="1">
        <w:r w:rsidRPr="00575169">
          <w:rPr>
            <w:rFonts w:ascii="Times New Roman" w:eastAsiaTheme="minorHAnsi" w:hAnsi="Times New Roman" w:cs="Times New Roman"/>
            <w:color w:val="auto"/>
            <w:sz w:val="28"/>
            <w:szCs w:val="28"/>
            <w:lang w:eastAsia="en-US"/>
          </w:rPr>
          <w:t xml:space="preserve"> описи дел по личному составу;</w:t>
        </w:r>
      </w:hyperlink>
      <w:r w:rsidRPr="00575169">
        <w:rPr>
          <w:rFonts w:ascii="Times New Roman" w:eastAsiaTheme="minorHAnsi" w:hAnsi="Times New Roman" w:cs="Times New Roman"/>
          <w:color w:val="auto"/>
          <w:sz w:val="28"/>
          <w:szCs w:val="28"/>
          <w:lang w:eastAsia="en-US"/>
        </w:rPr>
        <w:t xml:space="preserve"> </w:t>
      </w:r>
      <w:hyperlink r:id="rId16" w:history="1">
        <w:r w:rsidRPr="00575169">
          <w:rPr>
            <w:rFonts w:ascii="Times New Roman" w:eastAsiaTheme="minorHAnsi" w:hAnsi="Times New Roman" w:cs="Times New Roman"/>
            <w:color w:val="auto"/>
            <w:sz w:val="28"/>
            <w:szCs w:val="28"/>
            <w:lang w:eastAsia="en-US"/>
          </w:rPr>
          <w:t>титульного листа к описи;</w:t>
        </w:r>
      </w:hyperlink>
      <w:r w:rsidRPr="00575169">
        <w:rPr>
          <w:rFonts w:ascii="Times New Roman" w:eastAsiaTheme="minorHAnsi" w:hAnsi="Times New Roman" w:cs="Times New Roman"/>
          <w:color w:val="auto"/>
          <w:sz w:val="28"/>
          <w:szCs w:val="28"/>
          <w:lang w:eastAsia="en-US"/>
        </w:rPr>
        <w:t xml:space="preserve"> </w:t>
      </w:r>
      <w:hyperlink r:id="rId17" w:history="1">
        <w:r w:rsidRPr="00575169">
          <w:rPr>
            <w:rFonts w:ascii="Times New Roman" w:eastAsiaTheme="minorHAnsi" w:hAnsi="Times New Roman" w:cs="Times New Roman"/>
            <w:color w:val="auto"/>
            <w:sz w:val="28"/>
            <w:szCs w:val="28"/>
            <w:lang w:eastAsia="en-US"/>
          </w:rPr>
          <w:t>листа переименований к описи;</w:t>
        </w:r>
      </w:hyperlink>
      <w:r w:rsidRPr="00575169">
        <w:rPr>
          <w:rFonts w:ascii="Times New Roman" w:eastAsiaTheme="minorHAnsi" w:hAnsi="Times New Roman" w:cs="Times New Roman"/>
          <w:color w:val="auto"/>
          <w:sz w:val="28"/>
          <w:szCs w:val="28"/>
          <w:lang w:eastAsia="en-US"/>
        </w:rPr>
        <w:t xml:space="preserve"> </w:t>
      </w:r>
      <w:hyperlink r:id="rId18" w:history="1">
        <w:r w:rsidRPr="00575169">
          <w:rPr>
            <w:rFonts w:ascii="Times New Roman" w:eastAsiaTheme="minorHAnsi" w:hAnsi="Times New Roman" w:cs="Times New Roman"/>
            <w:color w:val="auto"/>
            <w:sz w:val="28"/>
            <w:szCs w:val="28"/>
            <w:lang w:eastAsia="en-US"/>
          </w:rPr>
          <w:t>предисловия к описи;</w:t>
        </w:r>
      </w:hyperlink>
      <w:r w:rsidRPr="00575169">
        <w:rPr>
          <w:rFonts w:ascii="Times New Roman" w:eastAsiaTheme="minorHAnsi" w:hAnsi="Times New Roman" w:cs="Times New Roman"/>
          <w:color w:val="auto"/>
          <w:sz w:val="28"/>
          <w:szCs w:val="28"/>
          <w:lang w:eastAsia="en-US"/>
        </w:rPr>
        <w:t xml:space="preserve"> </w:t>
      </w:r>
      <w:hyperlink r:id="rId19" w:history="1">
        <w:r w:rsidRPr="00575169">
          <w:rPr>
            <w:rFonts w:ascii="Times New Roman" w:eastAsiaTheme="minorHAnsi" w:hAnsi="Times New Roman" w:cs="Times New Roman"/>
            <w:color w:val="auto"/>
            <w:sz w:val="28"/>
            <w:szCs w:val="28"/>
            <w:lang w:eastAsia="en-US"/>
          </w:rPr>
          <w:t>списка сокращений)</w:t>
        </w:r>
      </w:hyperlink>
      <w:r w:rsidRPr="00575169">
        <w:rPr>
          <w:rFonts w:ascii="Times New Roman" w:eastAsiaTheme="minorHAnsi" w:hAnsi="Times New Roman" w:cs="Times New Roman"/>
          <w:color w:val="auto"/>
          <w:sz w:val="28"/>
          <w:szCs w:val="28"/>
          <w:lang w:eastAsia="en-US"/>
        </w:rPr>
        <w:t>;</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м</w:t>
      </w:r>
      <w:hyperlink r:id="rId20" w:history="1">
        <w:r w:rsidRPr="00575169">
          <w:rPr>
            <w:rFonts w:ascii="Times New Roman" w:eastAsiaTheme="minorHAnsi" w:hAnsi="Times New Roman" w:cs="Times New Roman"/>
            <w:color w:val="auto"/>
            <w:sz w:val="28"/>
            <w:szCs w:val="28"/>
            <w:lang w:eastAsia="en-US"/>
          </w:rPr>
          <w:t>етодические рекомендации «Экспертиза ценности и отбор в состав Архивного фонда Российской Федерации документов по личному составу»</w:t>
        </w:r>
      </w:hyperlink>
      <w:r w:rsidRPr="00575169">
        <w:rPr>
          <w:rFonts w:ascii="Times New Roman" w:eastAsiaTheme="minorHAnsi" w:hAnsi="Times New Roman" w:cs="Times New Roman"/>
          <w:color w:val="auto"/>
          <w:sz w:val="28"/>
          <w:szCs w:val="28"/>
          <w:lang w:eastAsia="en-US"/>
        </w:rPr>
        <w:t>;</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п</w:t>
      </w:r>
      <w:hyperlink r:id="rId21" w:history="1">
        <w:r w:rsidRPr="00575169">
          <w:rPr>
            <w:rFonts w:ascii="Times New Roman" w:eastAsiaTheme="minorHAnsi" w:hAnsi="Times New Roman" w:cs="Times New Roman"/>
            <w:color w:val="auto"/>
            <w:sz w:val="28"/>
            <w:szCs w:val="28"/>
            <w:lang w:eastAsia="en-US"/>
          </w:rPr>
          <w:t>амятка по подготовке к передаче на государственное хранение документов по личному составу ликвидированных организаций</w:t>
        </w:r>
      </w:hyperlink>
      <w:r w:rsidRPr="00575169">
        <w:rPr>
          <w:rFonts w:ascii="Times New Roman" w:eastAsiaTheme="minorHAnsi" w:hAnsi="Times New Roman" w:cs="Times New Roman"/>
          <w:color w:val="auto"/>
          <w:sz w:val="28"/>
          <w:szCs w:val="28"/>
          <w:lang w:eastAsia="en-US"/>
        </w:rPr>
        <w:t>;</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lastRenderedPageBreak/>
        <w:t>– м</w:t>
      </w:r>
      <w:hyperlink r:id="rId22" w:history="1">
        <w:r w:rsidRPr="00575169">
          <w:rPr>
            <w:rFonts w:ascii="Times New Roman" w:eastAsiaTheme="minorHAnsi" w:hAnsi="Times New Roman" w:cs="Times New Roman"/>
            <w:color w:val="auto"/>
            <w:sz w:val="28"/>
            <w:szCs w:val="28"/>
            <w:lang w:eastAsia="en-US"/>
          </w:rPr>
          <w:t>етодические рекомендации по работе с документами по личному составу в государственных и муниципальных архивах, архивах организаций</w:t>
        </w:r>
      </w:hyperlink>
      <w:r w:rsidRPr="00575169">
        <w:rPr>
          <w:rFonts w:ascii="Times New Roman" w:eastAsiaTheme="minorHAnsi" w:hAnsi="Times New Roman" w:cs="Times New Roman"/>
          <w:color w:val="auto"/>
          <w:sz w:val="28"/>
          <w:szCs w:val="28"/>
          <w:lang w:eastAsia="en-US"/>
        </w:rPr>
        <w:t>;</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w:t>
      </w:r>
      <w:hyperlink r:id="rId23" w:history="1">
        <w:r w:rsidRPr="00575169">
          <w:rPr>
            <w:rFonts w:ascii="Times New Roman" w:eastAsiaTheme="minorHAnsi" w:hAnsi="Times New Roman" w:cs="Times New Roman"/>
            <w:color w:val="auto"/>
            <w:sz w:val="28"/>
            <w:szCs w:val="28"/>
            <w:lang w:eastAsia="en-US"/>
          </w:rPr>
          <w:t>методические рекомендации по приему и описанию видеодокументов на электронных носителях</w:t>
        </w:r>
      </w:hyperlink>
      <w:r w:rsidRPr="00575169">
        <w:rPr>
          <w:rFonts w:ascii="Times New Roman" w:eastAsiaTheme="minorHAnsi" w:hAnsi="Times New Roman" w:cs="Times New Roman"/>
          <w:color w:val="auto"/>
          <w:sz w:val="28"/>
          <w:szCs w:val="28"/>
          <w:lang w:eastAsia="en-US"/>
        </w:rPr>
        <w:t>;</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7) Кроме того, во исполнение статьи 46 Федерального закона от 31.07.2020 № 248- ФЗ «О государственном контроле (надзоре) и муниципальном контроле в Российской Федерации» на официальном сайте управления размещены и поддерживаются в актуальном состоянии:</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тексты нормативных правовых актов, регулирующих осуществление регионального государственного контроля (надзора) за соблюдением законодательства об архивном деле (в разделе «Деятельность/Контрольно-надзорная деятельность);</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перечень индикаторов риска нарушения обязательных требований в сфере архивного дела, порядок отнесения объектов контроля к категориям риска (в разделе «Деятельность/Контрольно-надзорная деятельность/ Проверки. Индикаторы и категории риска. Проверочные листы);</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исчерпывающий перечень сведений, которые могут запрашиваться управлением у контролируемого лица (в разделе «Деятельность/Контрольно-надзорная деятельность/ Проверки. Индикаторы и категории риска. Проверочные листы);</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сведения о способах получения консультаций по вопросам соблюдения обязательных требований в сфере архивного дела (в разделе «Деятельность/Контрольно-надзорная деятельность/ Профилактика рисков причинения вреда/ Получение консультаций по соблюдению обязательных требований);</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сведения о порядке досудебного обжалования решений управления, действий (бездействия) его должностных лиц (в разделе «Деятельность/Контрольно-надзорная деятельность/ Досудебное обжалование решений контрольного (надзорного) органа);</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доклады о региональном государственном контроле (надзоре) за соблюдением законодательства об архивном деле (в разделе «Деятельность/Контрольно-надзорная деятельность/ Проверки. Индикаторы и категории риска. Проверочные листы /Доклады, отчеты по контрольно-надзорной деятельности);</w:t>
      </w:r>
    </w:p>
    <w:p w:rsidR="00AE342F" w:rsidRPr="00A01E42" w:rsidRDefault="00D45807">
      <w:pPr>
        <w:spacing w:afterAutospacing="1" w:line="24" w:lineRule="atLeast"/>
        <w:ind w:firstLine="709"/>
        <w:contextualSpacing/>
        <w:jc w:val="both"/>
        <w:rPr>
          <w:rFonts w:ascii="Times New Roman" w:eastAsiaTheme="minorHAnsi" w:hAnsi="Times New Roman" w:cs="Times New Roman"/>
          <w:color w:val="auto"/>
          <w:sz w:val="28"/>
          <w:szCs w:val="28"/>
          <w:lang w:eastAsia="en-US"/>
        </w:rPr>
      </w:pPr>
      <w:r w:rsidRPr="00575169">
        <w:rPr>
          <w:rFonts w:ascii="Times New Roman" w:eastAsiaTheme="minorHAnsi" w:hAnsi="Times New Roman" w:cs="Times New Roman"/>
          <w:color w:val="auto"/>
          <w:sz w:val="28"/>
          <w:szCs w:val="28"/>
          <w:lang w:eastAsia="en-US"/>
        </w:rPr>
        <w:t>– иные сведения, предусмотренные нормативными правовыми актами Российской Федерации</w:t>
      </w:r>
      <w:r w:rsidRPr="00A01E42">
        <w:rPr>
          <w:rFonts w:ascii="Times New Roman" w:eastAsiaTheme="minorHAnsi" w:hAnsi="Times New Roman" w:cs="Times New Roman"/>
          <w:color w:val="auto"/>
          <w:sz w:val="28"/>
          <w:szCs w:val="28"/>
          <w:lang w:eastAsia="en-US"/>
        </w:rPr>
        <w:t>, нормативными правовыми актами Новосибирской области и (или) программами профилактики рисков причинения вреда.</w:t>
      </w:r>
    </w:p>
    <w:p w:rsidR="00AE342F" w:rsidRPr="00575169" w:rsidRDefault="00D45807">
      <w:pPr>
        <w:spacing w:afterAutospacing="1" w:line="24" w:lineRule="atLeast"/>
        <w:ind w:firstLine="709"/>
        <w:contextualSpacing/>
        <w:jc w:val="both"/>
        <w:rPr>
          <w:rFonts w:ascii="Times New Roman" w:eastAsiaTheme="minorHAnsi" w:hAnsi="Times New Roman" w:cs="Times New Roman"/>
          <w:color w:val="auto"/>
          <w:sz w:val="28"/>
          <w:szCs w:val="28"/>
          <w:lang w:eastAsia="en-US"/>
        </w:rPr>
      </w:pPr>
      <w:r w:rsidRPr="00A01E42">
        <w:rPr>
          <w:rFonts w:ascii="Times New Roman" w:eastAsia="Times New Roman" w:hAnsi="Times New Roman" w:cs="Times New Roman"/>
          <w:color w:val="auto"/>
          <w:sz w:val="28"/>
          <w:szCs w:val="28"/>
          <w:lang w:bidi="ar-SA"/>
        </w:rPr>
        <w:t>Наиболее эффективными</w:t>
      </w:r>
      <w:r w:rsidR="00B91940" w:rsidRPr="00A01E42">
        <w:rPr>
          <w:rFonts w:ascii="Times New Roman" w:eastAsia="Times New Roman" w:hAnsi="Times New Roman" w:cs="Times New Roman"/>
          <w:color w:val="auto"/>
          <w:sz w:val="28"/>
          <w:szCs w:val="28"/>
          <w:lang w:bidi="ar-SA"/>
        </w:rPr>
        <w:t xml:space="preserve">, </w:t>
      </w:r>
      <w:r w:rsidRPr="00A01E42">
        <w:rPr>
          <w:rFonts w:ascii="Times New Roman" w:eastAsia="Times New Roman" w:hAnsi="Times New Roman" w:cs="Times New Roman"/>
          <w:color w:val="auto"/>
          <w:sz w:val="28"/>
          <w:szCs w:val="28"/>
          <w:lang w:bidi="ar-SA"/>
        </w:rPr>
        <w:t>дос</w:t>
      </w:r>
      <w:r w:rsidR="00B91940" w:rsidRPr="00A01E42">
        <w:rPr>
          <w:rFonts w:ascii="Times New Roman" w:eastAsia="Times New Roman" w:hAnsi="Times New Roman" w:cs="Times New Roman"/>
          <w:color w:val="auto"/>
          <w:sz w:val="28"/>
          <w:szCs w:val="28"/>
          <w:lang w:bidi="ar-SA"/>
        </w:rPr>
        <w:t xml:space="preserve">тупными для контролируемых лиц и </w:t>
      </w:r>
      <w:r w:rsidRPr="00A01E42">
        <w:rPr>
          <w:rFonts w:ascii="Times New Roman" w:eastAsia="Times New Roman" w:hAnsi="Times New Roman" w:cs="Times New Roman"/>
          <w:color w:val="auto"/>
          <w:sz w:val="28"/>
          <w:szCs w:val="28"/>
          <w:lang w:bidi="ar-SA"/>
        </w:rPr>
        <w:t xml:space="preserve">используемыми ими в работе являются документы и информация, размещенные в дополнительном разделе </w:t>
      </w:r>
      <w:r w:rsidRPr="00A01E42">
        <w:rPr>
          <w:rFonts w:ascii="Times New Roman" w:eastAsia="Times New Roman" w:hAnsi="Times New Roman" w:cs="Times New Roman"/>
          <w:color w:val="auto"/>
          <w:sz w:val="28"/>
          <w:szCs w:val="28"/>
        </w:rPr>
        <w:t xml:space="preserve">«Для организаций» на </w:t>
      </w:r>
      <w:r w:rsidRPr="00A01E42">
        <w:rPr>
          <w:rFonts w:ascii="Times New Roman" w:eastAsia="Times New Roman" w:hAnsi="Times New Roman" w:cs="Times New Roman"/>
          <w:color w:val="auto"/>
          <w:sz w:val="28"/>
          <w:szCs w:val="28"/>
          <w:lang w:bidi="ar-SA"/>
        </w:rPr>
        <w:t xml:space="preserve">официальном сайте управления. В указанном разделе </w:t>
      </w:r>
      <w:r w:rsidR="00B91940" w:rsidRPr="00A01E42">
        <w:rPr>
          <w:rFonts w:ascii="Times New Roman" w:eastAsia="Times New Roman" w:hAnsi="Times New Roman" w:cs="Times New Roman"/>
          <w:color w:val="auto"/>
          <w:sz w:val="28"/>
          <w:szCs w:val="28"/>
        </w:rPr>
        <w:t xml:space="preserve">опубликованы </w:t>
      </w:r>
      <w:r w:rsidRPr="00A01E42">
        <w:rPr>
          <w:rFonts w:ascii="Times New Roman" w:eastAsia="Times New Roman" w:hAnsi="Times New Roman" w:cs="Times New Roman"/>
          <w:color w:val="auto"/>
          <w:sz w:val="28"/>
          <w:szCs w:val="28"/>
        </w:rPr>
        <w:t>нормативные правовые акты, содержащие обязательные требования в сфере архивного дела, инструктивные и методические материалы федерального и регионального уровней (типовые и примерные положения об архиве, экспертной комиссии</w:t>
      </w:r>
      <w:r w:rsidRPr="00575169">
        <w:rPr>
          <w:rFonts w:ascii="Times New Roman" w:eastAsia="Times New Roman" w:hAnsi="Times New Roman" w:cs="Times New Roman"/>
          <w:color w:val="auto"/>
          <w:sz w:val="28"/>
          <w:szCs w:val="28"/>
        </w:rPr>
        <w:t xml:space="preserve">, номенклатуры дел, перечни документов со сроками хранения, требования к инструкциям по </w:t>
      </w:r>
      <w:r w:rsidRPr="00575169">
        <w:rPr>
          <w:rFonts w:ascii="Times New Roman" w:eastAsia="Times New Roman" w:hAnsi="Times New Roman" w:cs="Times New Roman"/>
          <w:color w:val="auto"/>
          <w:sz w:val="28"/>
          <w:szCs w:val="28"/>
        </w:rPr>
        <w:lastRenderedPageBreak/>
        <w:t>делопроизводству и другие). Данная вкладка размещена на главной странице официального сайта управления и поддерживается в актуальном состоянии, а также ежегодно дополняется новыми документами;</w:t>
      </w:r>
    </w:p>
    <w:p w:rsidR="00AE342F" w:rsidRPr="00575169" w:rsidRDefault="00D45807">
      <w:pPr>
        <w:widowControl/>
        <w:spacing w:line="24" w:lineRule="atLeast"/>
        <w:ind w:firstLine="709"/>
        <w:contextualSpacing/>
        <w:jc w:val="both"/>
        <w:rPr>
          <w:rFonts w:ascii="Times New Roman" w:eastAsia="Calibri" w:hAnsi="Times New Roman" w:cs="Times New Roman"/>
          <w:color w:val="auto"/>
          <w:sz w:val="28"/>
          <w:szCs w:val="28"/>
          <w:lang w:eastAsia="en-US" w:bidi="ar-SA"/>
        </w:rPr>
      </w:pPr>
      <w:r w:rsidRPr="00575169">
        <w:rPr>
          <w:rFonts w:ascii="Times New Roman" w:eastAsiaTheme="minorHAnsi" w:hAnsi="Times New Roman" w:cs="Times New Roman"/>
          <w:color w:val="auto"/>
          <w:sz w:val="28"/>
          <w:szCs w:val="28"/>
          <w:lang w:eastAsia="en-US"/>
        </w:rPr>
        <w:t>8) </w:t>
      </w:r>
      <w:r w:rsidRPr="00575169">
        <w:rPr>
          <w:rFonts w:ascii="Times New Roman" w:eastAsia="Calibri" w:hAnsi="Times New Roman" w:cs="Times New Roman"/>
          <w:color w:val="auto"/>
          <w:sz w:val="28"/>
          <w:szCs w:val="28"/>
          <w:lang w:eastAsia="en-US" w:bidi="ar-SA"/>
        </w:rPr>
        <w:t>В соответствии с Положением о региональном государственном контроле (надзоре) за соблюдением законодательства об архивном деле, утвержденным постановлением Правительства Новосибирской области от 20.09.2021 № 365-п, контроль в сфере архивного дела с 2022 года осуществляется на основе управления рисками причинения вреда (ущерба), определяющими выбор контрольных (надзорных) мероприятий, их содержание (в том числе объем проверяемых обязательных требований</w:t>
      </w:r>
      <w:r w:rsidRPr="00575169">
        <w:rPr>
          <w:rFonts w:ascii="Times New Roman" w:eastAsia="Times New Roman" w:hAnsi="Times New Roman" w:cs="Times New Roman"/>
          <w:color w:val="auto"/>
          <w:sz w:val="28"/>
          <w:szCs w:val="28"/>
          <w:lang w:bidi="ar-SA"/>
        </w:rPr>
        <w:t xml:space="preserve"> в сфере архивного дела</w:t>
      </w:r>
      <w:r w:rsidRPr="00575169">
        <w:rPr>
          <w:rFonts w:ascii="Times New Roman" w:eastAsia="Calibri" w:hAnsi="Times New Roman" w:cs="Times New Roman"/>
          <w:color w:val="auto"/>
          <w:sz w:val="28"/>
          <w:szCs w:val="28"/>
          <w:lang w:eastAsia="en-US" w:bidi="ar-SA"/>
        </w:rPr>
        <w:t>), интенсивность и результаты.</w:t>
      </w:r>
    </w:p>
    <w:p w:rsidR="00AE342F" w:rsidRPr="00575169" w:rsidRDefault="00D45807">
      <w:pPr>
        <w:widowControl/>
        <w:spacing w:line="24" w:lineRule="atLeast"/>
        <w:ind w:firstLine="709"/>
        <w:contextualSpacing/>
        <w:jc w:val="both"/>
        <w:rPr>
          <w:rFonts w:ascii="Times New Roman" w:eastAsia="Times New Roman" w:hAnsi="Times New Roman" w:cs="Times New Roman"/>
          <w:color w:val="auto"/>
          <w:sz w:val="28"/>
          <w:szCs w:val="28"/>
          <w:lang w:bidi="ar-SA"/>
        </w:rPr>
      </w:pPr>
      <w:r w:rsidRPr="00575169">
        <w:rPr>
          <w:rFonts w:ascii="Times New Roman" w:eastAsia="Calibri" w:hAnsi="Times New Roman" w:cs="Times New Roman"/>
          <w:color w:val="auto"/>
          <w:sz w:val="28"/>
          <w:szCs w:val="28"/>
          <w:lang w:eastAsia="en-US" w:bidi="ar-SA"/>
        </w:rPr>
        <w:t>Для целей управления</w:t>
      </w:r>
      <w:r w:rsidRPr="00575169">
        <w:rPr>
          <w:rFonts w:ascii="Times New Roman" w:eastAsia="Times New Roman" w:hAnsi="Times New Roman" w:cs="Times New Roman"/>
          <w:color w:val="auto"/>
          <w:sz w:val="28"/>
          <w:szCs w:val="28"/>
          <w:lang w:bidi="ar-SA"/>
        </w:rPr>
        <w:t xml:space="preserve"> рисками причинения вреда (ущерба) документам Архивного фонда Российской Федерации, в том числе особо ценным и уникальным документам и другим архивным документам, при осуществлении контроля в сфере архивного дела объекты контроля относятся к следующим категориям риска причинения вреда (ущерба) (далее – категории риска): среднего риска, умеренного риска и низкого риска.</w:t>
      </w:r>
    </w:p>
    <w:p w:rsidR="00AE342F" w:rsidRPr="00575169" w:rsidRDefault="00D45807">
      <w:pPr>
        <w:widowControl/>
        <w:spacing w:line="24" w:lineRule="atLeast"/>
        <w:ind w:firstLine="709"/>
        <w:contextualSpacing/>
        <w:jc w:val="both"/>
        <w:rPr>
          <w:rFonts w:ascii="Times New Roman" w:eastAsia="Times New Roman" w:hAnsi="Times New Roman" w:cs="Times New Roman"/>
          <w:color w:val="auto"/>
          <w:sz w:val="28"/>
          <w:szCs w:val="28"/>
          <w:lang w:bidi="ar-SA"/>
        </w:rPr>
      </w:pPr>
      <w:r w:rsidRPr="00575169">
        <w:rPr>
          <w:rFonts w:ascii="Times New Roman" w:eastAsia="Times New Roman" w:hAnsi="Times New Roman" w:cs="Times New Roman"/>
          <w:color w:val="auto"/>
          <w:sz w:val="28"/>
          <w:szCs w:val="28"/>
          <w:lang w:bidi="ar-SA"/>
        </w:rPr>
        <w:t>При отнесении объектов контроля к определенной категории риска при осуществлении контроля в сфере архивного дела учитывается тяжесть потенциальных негативных последствий возможного несоблюдения и вероятности несоблюдения контролируемыми лицами обязательных требований в сфере архивного дела.</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bidi="ar-SA"/>
        </w:rPr>
      </w:pPr>
      <w:r w:rsidRPr="00575169">
        <w:rPr>
          <w:rFonts w:ascii="Times New Roman" w:eastAsiaTheme="minorHAnsi" w:hAnsi="Times New Roman" w:cs="Times New Roman"/>
          <w:color w:val="auto"/>
          <w:sz w:val="28"/>
          <w:szCs w:val="28"/>
          <w:lang w:eastAsia="en-US" w:bidi="ar-SA"/>
        </w:rPr>
        <w:t xml:space="preserve">Во исполнение пункта 5 </w:t>
      </w:r>
      <w:r w:rsidRPr="00575169">
        <w:rPr>
          <w:rFonts w:ascii="Times New Roman" w:eastAsiaTheme="minorHAnsi" w:hAnsi="Times New Roman" w:cs="Times New Roman"/>
          <w:color w:val="auto"/>
          <w:sz w:val="28"/>
          <w:szCs w:val="28"/>
          <w:lang w:eastAsia="en-US"/>
        </w:rPr>
        <w:t>Плана-графика на 2022 год, а также в</w:t>
      </w:r>
      <w:r w:rsidRPr="00575169">
        <w:rPr>
          <w:rFonts w:ascii="Times New Roman" w:eastAsiaTheme="minorHAnsi" w:hAnsi="Times New Roman" w:cs="Times New Roman"/>
          <w:color w:val="auto"/>
          <w:sz w:val="28"/>
          <w:szCs w:val="28"/>
          <w:lang w:eastAsia="en-US" w:bidi="ar-SA"/>
        </w:rPr>
        <w:t xml:space="preserve"> целях снижения административной нагрузки на контролируемых лиц и своевременного выполнения обязательных требований в сфере архивного дела, в 1 квартале 2022 года управлением проведено категорирование 1 138 объектов, проверяемых в рамках регионального государственного контроля (надзора) за соблюдением законодательства об архивном деле. Двадцать контролируемых лиц отнесены к категории умеренного риска, пять – среднего риска. Результаты отнесения деятельности контролируемых лиц и (или) принадлежащих им (используемых ими) иных объектов контроля к категории риска утверждены приказом управления от 28.02.2022 № 9-од «Об отнесении объектов контроля к определенной категории риска» (размещен на официальном сайте управления в разделе «Деятельность/Контрольно-надзорная деятельность/Проверки. Индикаторы и категории риска. Проверочные листы»). Данный перечень </w:t>
      </w:r>
      <w:r w:rsidRPr="00575169">
        <w:rPr>
          <w:rFonts w:ascii="Times New Roman" w:hAnsi="Times New Roman" w:cs="Times New Roman"/>
          <w:color w:val="auto"/>
          <w:sz w:val="28"/>
          <w:szCs w:val="28"/>
          <w:lang w:bidi="ar-SA"/>
        </w:rPr>
        <w:t xml:space="preserve">объектов контроля с указанной категорией риска, учитывался в рамках формирования </w:t>
      </w:r>
      <w:r w:rsidRPr="00575169">
        <w:rPr>
          <w:rFonts w:ascii="Times New Roman" w:eastAsiaTheme="minorHAnsi" w:hAnsi="Times New Roman" w:cs="Times New Roman"/>
          <w:color w:val="auto"/>
          <w:sz w:val="28"/>
          <w:szCs w:val="28"/>
          <w:lang w:eastAsia="en-US" w:bidi="ar-SA"/>
        </w:rPr>
        <w:t>плана проведения плановых контрольных (надзорных) мероприятий на 2023 год.</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bidi="ar-SA"/>
        </w:rPr>
      </w:pPr>
      <w:r w:rsidRPr="00575169">
        <w:rPr>
          <w:rFonts w:ascii="Times New Roman" w:eastAsiaTheme="minorHAnsi" w:hAnsi="Times New Roman" w:cs="Times New Roman"/>
          <w:color w:val="auto"/>
          <w:sz w:val="28"/>
          <w:szCs w:val="28"/>
          <w:lang w:eastAsia="en-US" w:bidi="ar-SA"/>
        </w:rPr>
        <w:t xml:space="preserve">В рамках постоянного мониторинга (сбора, обработки, анализа и учета) сведений, используемых для оценки и управления рисками причинения вреда (ущерба) издано десять приказов управления от 28.03.2022 № 18-од, от 20.04.2022 № 26-од, от 12.05.2022 № 29-од, от 17.06.2022 № 36-од, от 04.07.2022 № 40-од, от 29.07.2022 № 45-од, от 30.08.2022 № 56-од, от 30.09.2022 № 64-од, от 28.10.2022 № 91-од, от 25.11.2022 № 99-од «О внесении изменения в приказ от 28.02.2022 № 9-од «Об отнесении объектов </w:t>
      </w:r>
      <w:r w:rsidRPr="00575169">
        <w:rPr>
          <w:rFonts w:ascii="Times New Roman" w:eastAsiaTheme="minorHAnsi" w:hAnsi="Times New Roman" w:cs="Times New Roman"/>
          <w:color w:val="auto"/>
          <w:sz w:val="28"/>
          <w:szCs w:val="28"/>
          <w:lang w:eastAsia="en-US" w:bidi="ar-SA"/>
        </w:rPr>
        <w:lastRenderedPageBreak/>
        <w:t>контроля к определенной категории риска». В результате принятых контролируемыми лицами мер по устранению нарушений обязательных требований законодательства об архивном деле деятельность 17 отнесена к категории низкого риска;</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bidi="ar-SA"/>
        </w:rPr>
      </w:pPr>
      <w:r w:rsidRPr="00575169">
        <w:rPr>
          <w:rFonts w:ascii="Times New Roman" w:eastAsiaTheme="minorHAnsi" w:hAnsi="Times New Roman" w:cs="Times New Roman"/>
          <w:color w:val="auto"/>
          <w:sz w:val="28"/>
          <w:szCs w:val="28"/>
          <w:lang w:eastAsia="en-US" w:bidi="ar-SA"/>
        </w:rPr>
        <w:t xml:space="preserve">9) В соответствии с пунктом 9 Правил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утвержденных постановлением Правительства Российской Федерации от 31.12.2020 № 2428, и пункта 6 </w:t>
      </w:r>
      <w:r w:rsidRPr="00575169">
        <w:rPr>
          <w:rFonts w:ascii="Times New Roman" w:eastAsiaTheme="minorHAnsi" w:hAnsi="Times New Roman" w:cs="Times New Roman"/>
          <w:color w:val="auto"/>
          <w:sz w:val="28"/>
          <w:szCs w:val="28"/>
          <w:lang w:eastAsia="en-US"/>
        </w:rPr>
        <w:t>Плана-графика на 2022 год</w:t>
      </w:r>
      <w:r w:rsidRPr="00575169">
        <w:rPr>
          <w:rFonts w:ascii="Times New Roman" w:eastAsiaTheme="minorHAnsi" w:hAnsi="Times New Roman" w:cs="Times New Roman"/>
          <w:color w:val="auto"/>
          <w:sz w:val="28"/>
          <w:szCs w:val="28"/>
          <w:lang w:eastAsia="en-US" w:bidi="ar-SA"/>
        </w:rPr>
        <w:t xml:space="preserve"> подготовлен проект ежегодного плана проведения плановых контрольных (надзорных) мероприятий на 2023 год и направлен управлением в сентябре 2022 года на согласование в прокуратуру Новосибирской области посредством формирования в государственной информационной системе «Типовое облачное решение по автоматизации контрольной (надзорной) деятельности» и последующим размещением в федеральной государственной информационной системе «Единый реестр контрольных (надзорных) мероприятий».</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bidi="ar-SA"/>
        </w:rPr>
      </w:pPr>
      <w:r w:rsidRPr="00575169">
        <w:rPr>
          <w:rFonts w:ascii="Times New Roman" w:eastAsiaTheme="minorHAnsi" w:hAnsi="Times New Roman" w:cs="Times New Roman"/>
          <w:color w:val="auto"/>
          <w:sz w:val="28"/>
          <w:szCs w:val="28"/>
          <w:lang w:eastAsia="en-US" w:bidi="ar-SA"/>
        </w:rPr>
        <w:t xml:space="preserve">В связи с изменениями, внесенными постановлением Правительства Российской Федерации от 01.10.2022 № 1743 «О внесении изменений в постановление Правительства Российской Федерации от 10 марта 2022 г. № 336», в планы проведения плановых контрольных (надзорных) мероприятий на 2023 год при осуществлении видов государственного контроля (надзора), порядок организации и осуществления которых регулируется Федеральным </w:t>
      </w:r>
      <w:hyperlink r:id="rId24" w:history="1">
        <w:r w:rsidRPr="00575169">
          <w:rPr>
            <w:rFonts w:ascii="Times New Roman" w:eastAsiaTheme="minorHAnsi" w:hAnsi="Times New Roman" w:cs="Times New Roman"/>
            <w:color w:val="auto"/>
            <w:sz w:val="28"/>
            <w:szCs w:val="28"/>
            <w:lang w:eastAsia="en-US" w:bidi="ar-SA"/>
          </w:rPr>
          <w:t>законом</w:t>
        </w:r>
      </w:hyperlink>
      <w:r w:rsidRPr="00575169">
        <w:rPr>
          <w:rFonts w:ascii="Times New Roman" w:eastAsiaTheme="minorHAnsi" w:hAnsi="Times New Roman" w:cs="Times New Roman"/>
          <w:color w:val="auto"/>
          <w:sz w:val="28"/>
          <w:szCs w:val="28"/>
          <w:lang w:eastAsia="en-US" w:bidi="ar-SA"/>
        </w:rPr>
        <w:t xml:space="preserve"> от 31.07.2020 № 248-ФЗ «О государственном контроле (надзоре) и муниципальном контроле в Российской Федерации», должны включаться контрольные (надзорные) мероприятия только в отношении объектов контроля, отнесенных к категориям чрезвычайно высокого и высокого риска. На указанном основании прокуратурой Новосибирской области все проверки из ежегодного плана проведения плановых контрольных (надзорных) мероприятий на 2023 год были исключены;</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bidi="ar-SA"/>
        </w:rPr>
      </w:pPr>
      <w:r w:rsidRPr="00575169">
        <w:rPr>
          <w:rFonts w:ascii="Times New Roman" w:eastAsiaTheme="minorHAnsi" w:hAnsi="Times New Roman" w:cs="Times New Roman"/>
          <w:color w:val="auto"/>
          <w:sz w:val="28"/>
          <w:szCs w:val="28"/>
          <w:lang w:eastAsia="en-US"/>
        </w:rPr>
        <w:t>10) В</w:t>
      </w:r>
      <w:r w:rsidRPr="00575169">
        <w:rPr>
          <w:rFonts w:ascii="Times New Roman" w:hAnsi="Times New Roman" w:cs="Times New Roman"/>
          <w:sz w:val="28"/>
          <w:szCs w:val="28"/>
        </w:rPr>
        <w:t xml:space="preserve"> соответствии с пунктом 44 подраздела 4.1.2. раздела 4 Стандарта и пунктом 7 Плана-графика на 2022 год управлением был подготовлен и направлен в </w:t>
      </w:r>
      <w:r w:rsidRPr="00575169">
        <w:rPr>
          <w:rFonts w:ascii="Times New Roman" w:eastAsia="Calibri" w:hAnsi="Times New Roman" w:cs="Times New Roman"/>
          <w:sz w:val="28"/>
          <w:szCs w:val="28"/>
        </w:rPr>
        <w:t xml:space="preserve">Общественную палату Новосибирской области, </w:t>
      </w:r>
      <w:r w:rsidRPr="00575169">
        <w:rPr>
          <w:rFonts w:ascii="Times New Roman" w:hAnsi="Times New Roman" w:cs="Times New Roman"/>
          <w:sz w:val="28"/>
          <w:szCs w:val="28"/>
        </w:rPr>
        <w:t xml:space="preserve">Межрегиональную ассоциацию руководителей предприятий, Новосибирское региональное отделение </w:t>
      </w:r>
      <w:r w:rsidRPr="00575169">
        <w:rPr>
          <w:rFonts w:ascii="Times New Roman" w:hAnsi="Times New Roman" w:cs="Times New Roman"/>
          <w:color w:val="auto"/>
          <w:sz w:val="28"/>
          <w:szCs w:val="28"/>
          <w:lang w:bidi="ar-SA"/>
        </w:rPr>
        <w:t>Общероссийской общественной организации</w:t>
      </w:r>
      <w:r w:rsidRPr="00575169">
        <w:rPr>
          <w:rFonts w:ascii="Times New Roman" w:hAnsi="Times New Roman" w:cs="Times New Roman"/>
          <w:sz w:val="28"/>
          <w:szCs w:val="28"/>
        </w:rPr>
        <w:t xml:space="preserve"> «Деловая Россия», Новосибирское областное отделение «Опора России», Союз «Новосибирской торгово-промышленной палаты», Союз «Новосибирской городской торгово-промышленной палаты» проект доклада об итогах профилактической работы управления в 2021 году для ознакомления и направления отзывов, замечаний и предложений.</w:t>
      </w:r>
      <w:r w:rsidRPr="00575169">
        <w:rPr>
          <w:rFonts w:ascii="Times New Roman" w:eastAsiaTheme="minorHAnsi" w:hAnsi="Times New Roman" w:cs="Times New Roman"/>
          <w:color w:val="auto"/>
          <w:sz w:val="28"/>
          <w:szCs w:val="28"/>
          <w:lang w:eastAsia="en-US" w:bidi="ar-SA"/>
        </w:rPr>
        <w:t xml:space="preserve"> Документ прошел общественное обсуждение, рассмотрен и единогласно одобрен 10.02.2022 на заседании Общественного совета при управлении, утвержден приказом управления от 17.02.2022 № 5-од. Доклад размещен на официальном сайте управления в разделе «Деятельность/Контрольно-надзорная деятельность/Профилактика рисков причинения вреда/Доклад об итогах профилактической работы»;</w:t>
      </w:r>
    </w:p>
    <w:p w:rsidR="00AE342F" w:rsidRPr="00575169" w:rsidRDefault="00D45807">
      <w:pPr>
        <w:widowControl/>
        <w:spacing w:line="24" w:lineRule="atLeast"/>
        <w:ind w:firstLine="709"/>
        <w:jc w:val="both"/>
        <w:rPr>
          <w:rFonts w:ascii="Times New Roman" w:hAnsi="Times New Roman" w:cs="Times New Roman"/>
          <w:sz w:val="28"/>
          <w:szCs w:val="28"/>
        </w:rPr>
      </w:pPr>
      <w:r w:rsidRPr="00575169">
        <w:rPr>
          <w:rFonts w:ascii="Times New Roman" w:eastAsiaTheme="minorHAnsi" w:hAnsi="Times New Roman" w:cs="Times New Roman"/>
          <w:color w:val="auto"/>
          <w:sz w:val="28"/>
          <w:szCs w:val="28"/>
          <w:lang w:eastAsia="en-US" w:bidi="ar-SA"/>
        </w:rPr>
        <w:lastRenderedPageBreak/>
        <w:t>11) </w:t>
      </w:r>
      <w:r w:rsidRPr="00575169">
        <w:rPr>
          <w:rFonts w:ascii="Times New Roman" w:hAnsi="Times New Roman" w:cs="Times New Roman"/>
          <w:sz w:val="28"/>
          <w:szCs w:val="28"/>
        </w:rPr>
        <w:t>В рамках реализации статьи 44 Федерального закона от 31.07.2020 № 248-ФЗ «О государственном контроле (надзоре) и муниципальном контроле в Российской Федерации»,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87344">
        <w:rPr>
          <w:rFonts w:ascii="Times New Roman" w:hAnsi="Times New Roman" w:cs="Times New Roman"/>
          <w:sz w:val="28"/>
          <w:szCs w:val="28"/>
        </w:rPr>
        <w:t>,</w:t>
      </w:r>
      <w:r w:rsidRPr="00575169">
        <w:rPr>
          <w:rFonts w:ascii="Times New Roman" w:hAnsi="Times New Roman" w:cs="Times New Roman"/>
          <w:sz w:val="28"/>
          <w:szCs w:val="28"/>
        </w:rPr>
        <w:t xml:space="preserve"> в соответствии со Стандартом и пунктами 9–10 Плана-графика на 2022 год управлением разработан проект Программы профилактики рисков причинения вреда (ущерба) охраняемым законом ценностям по региональному государственному контролю (надзору) за соблюдением законодательства об архивном деле, осуществляемому управлением государственной архивной службы Новосибирской области, на 2023 год (далее – проект Программы профилактики рисков причинения вреда на 2023 год).</w:t>
      </w:r>
    </w:p>
    <w:p w:rsidR="00AE342F" w:rsidRPr="00575169" w:rsidRDefault="00D45807">
      <w:pPr>
        <w:tabs>
          <w:tab w:val="left" w:pos="1080"/>
        </w:tabs>
        <w:spacing w:line="24" w:lineRule="atLeast"/>
        <w:ind w:firstLine="708"/>
        <w:jc w:val="both"/>
        <w:rPr>
          <w:rFonts w:ascii="Times New Roman" w:hAnsi="Times New Roman" w:cs="Times New Roman"/>
          <w:sz w:val="28"/>
          <w:szCs w:val="28"/>
        </w:rPr>
      </w:pPr>
      <w:r w:rsidRPr="00575169">
        <w:rPr>
          <w:rFonts w:ascii="Times New Roman" w:hAnsi="Times New Roman" w:cs="Times New Roman"/>
          <w:sz w:val="28"/>
          <w:szCs w:val="28"/>
        </w:rPr>
        <w:t>Проект Программы профилактики рисков причинения вреда на 2023 год был размещен на официальном сайте управления в разделе «Деятельность/Контрольно-надзорная деятельность/Профилактика рисков причинения вреда» для общественного обсуждения в период с 1 октября по 1 ноября 2022 года с целью выявления и учета мнения граждан, некоммерческих общественных и иных организаций и учреждений по вопросам проведения профилактических мероприятий при осуществлении регионального государственного контроля (надзора) за соблюдением законодательства об архивном деле. Замечаний и предложений по итогам рассмотрения не поступало.</w:t>
      </w:r>
    </w:p>
    <w:p w:rsidR="00AE342F" w:rsidRPr="00575169" w:rsidRDefault="00D45807">
      <w:pPr>
        <w:tabs>
          <w:tab w:val="left" w:pos="1080"/>
        </w:tabs>
        <w:spacing w:line="24" w:lineRule="atLeast"/>
        <w:ind w:firstLine="708"/>
        <w:jc w:val="both"/>
        <w:rPr>
          <w:rFonts w:ascii="Times New Roman" w:hAnsi="Times New Roman" w:cs="Times New Roman"/>
          <w:sz w:val="28"/>
          <w:szCs w:val="28"/>
        </w:rPr>
      </w:pPr>
      <w:r w:rsidRPr="00575169">
        <w:rPr>
          <w:rFonts w:ascii="Times New Roman" w:hAnsi="Times New Roman" w:cs="Times New Roman"/>
          <w:sz w:val="28"/>
          <w:szCs w:val="28"/>
        </w:rPr>
        <w:t>Проект Программы профилактики рисков причинения вреда на 2023 год рассмотрен и единогласно одобрен на заседании Общественного совета при управлении (протокол от 24.11.2022 № 3). Программа профилактики рисков причинения вреда на 2023 год утверждена приказом управления от 25.11.2022 № 100</w:t>
      </w:r>
      <w:r w:rsidRPr="00575169">
        <w:rPr>
          <w:rFonts w:ascii="Times New Roman" w:hAnsi="Times New Roman" w:cs="Times New Roman"/>
          <w:sz w:val="28"/>
          <w:szCs w:val="28"/>
        </w:rPr>
        <w:noBreakHyphen/>
        <w:t>од и размещена на официальном сайте управления в разделе «Деятельность/Контрольно-надзорная деятельность/Профилактика рисков причинения вреда/Программа профилактики нарушений обязательных требований».</w:t>
      </w:r>
    </w:p>
    <w:p w:rsidR="00AE342F" w:rsidRPr="00A01E42" w:rsidRDefault="00D45807">
      <w:pPr>
        <w:pStyle w:val="a9"/>
        <w:spacing w:line="24" w:lineRule="atLeast"/>
        <w:ind w:left="0" w:firstLine="709"/>
        <w:jc w:val="both"/>
      </w:pPr>
      <w:r w:rsidRPr="00575169">
        <w:rPr>
          <w:b/>
        </w:rPr>
        <w:t>2. </w:t>
      </w:r>
      <w:r w:rsidRPr="00A01E42">
        <w:rPr>
          <w:b/>
        </w:rPr>
        <w:t>Обобщение правоприменительной практики управлени</w:t>
      </w:r>
      <w:r w:rsidR="00B91940" w:rsidRPr="00A01E42">
        <w:rPr>
          <w:b/>
        </w:rPr>
        <w:t>ем</w:t>
      </w:r>
      <w:r w:rsidRPr="00A01E42">
        <w:rPr>
          <w:b/>
        </w:rPr>
        <w:t xml:space="preserve"> </w:t>
      </w:r>
      <w:r w:rsidRPr="00A01E42">
        <w:t>проводи</w:t>
      </w:r>
      <w:r w:rsidR="00B91940" w:rsidRPr="00A01E42">
        <w:t>лось</w:t>
      </w:r>
      <w:r w:rsidRPr="00A01E42">
        <w:t xml:space="preserve"> по следующим направлениям.</w:t>
      </w:r>
    </w:p>
    <w:p w:rsidR="00AE342F" w:rsidRPr="00575169" w:rsidRDefault="00D45807">
      <w:pPr>
        <w:pStyle w:val="a9"/>
        <w:spacing w:line="24" w:lineRule="atLeast"/>
        <w:ind w:left="0" w:firstLine="709"/>
        <w:jc w:val="both"/>
      </w:pPr>
      <w:r w:rsidRPr="00A01E42">
        <w:t>1) </w:t>
      </w:r>
      <w:r w:rsidRPr="00A01E42">
        <w:rPr>
          <w:rFonts w:eastAsiaTheme="minorHAnsi"/>
          <w:lang w:eastAsia="en-US"/>
        </w:rPr>
        <w:t xml:space="preserve">В 1 квартале 2022 года осуществлена подготовка проекта доклада о правоприменительной практике контрольной деятельности управления за 2021 год. Документ </w:t>
      </w:r>
      <w:r w:rsidRPr="00A01E42">
        <w:t>был размещен на официальном сайте управления в разделе «Деятельность/Контрольно-надзорная деятельность/</w:t>
      </w:r>
      <w:r w:rsidR="00B91940" w:rsidRPr="00A01E42">
        <w:t>Публичные обсуждения правоприменительной практики</w:t>
      </w:r>
      <w:r w:rsidRPr="00A01E42">
        <w:t>/Обзоры</w:t>
      </w:r>
      <w:r w:rsidRPr="00575169">
        <w:t xml:space="preserve"> правоприменительной практики» для общественного обсуждения в период с 3 марта по 7 апреля 2022 года с целью выявления и учета мнения граждан, некоммерческих общественных и иных организаций и учреждений по вопросам соблюдения и применения подконтрольными субъектами федеральных законов и иных нормативных правовых актов Российской Федерации, законов и иных нормативных правовых актов Новосибирской области об архивном деле, обязательность применения которых установлена законодательством Российской Федерации, проверяемых </w:t>
      </w:r>
      <w:r w:rsidRPr="00575169">
        <w:lastRenderedPageBreak/>
        <w:t>управлением при осуществлении регионального государственного контроля (надзора) за соблюдением законодательства об архивном деле. Замечаний и предложений по итогам рассмотрения не поступало.</w:t>
      </w:r>
    </w:p>
    <w:p w:rsidR="00AE342F" w:rsidRPr="00575169" w:rsidRDefault="00D45807">
      <w:pPr>
        <w:pStyle w:val="a9"/>
        <w:spacing w:line="24" w:lineRule="atLeast"/>
        <w:ind w:left="0" w:firstLine="709"/>
        <w:jc w:val="both"/>
      </w:pPr>
      <w:r w:rsidRPr="00575169">
        <w:rPr>
          <w:rFonts w:eastAsiaTheme="minorHAnsi"/>
          <w:lang w:eastAsia="en-US"/>
        </w:rPr>
        <w:t xml:space="preserve">Проект доклада о правоприменительной практике контрольной деятельности управления за 2021 год рассмотрен и единогласно одобрен 08.04.2022 на заседании Общественного совета при управлении и утвержден приказом управления от 08.04.2022 № 20-од «Об утверждении доклада о правоприменительной практике контрольной деятельности управления государственной архивной службы Новосибирской области за 2021 год». Размещен на официальном сайте управления в разделе «Деятельность/Контрольно-надзорная деятельность/Публичные обсуждения правоприменительной практики/Обзоры правоприменительной практики». </w:t>
      </w:r>
      <w:r w:rsidRPr="00575169">
        <w:t>Таким образом, установленный в пункте 12 Плана-графика на 2022 год срок разработки, утверждения и размещения на официальном сайте доклада о правоприменительной практике – до 20 мая 2022 года, исполнен.</w:t>
      </w:r>
    </w:p>
    <w:p w:rsidR="00AE342F" w:rsidRPr="00575169" w:rsidRDefault="00D45807">
      <w:pPr>
        <w:pStyle w:val="22"/>
        <w:shd w:val="clear" w:color="auto" w:fill="auto"/>
        <w:spacing w:before="0" w:line="24" w:lineRule="atLeast"/>
        <w:ind w:firstLine="709"/>
      </w:pPr>
      <w:r w:rsidRPr="00575169">
        <w:rPr>
          <w:color w:val="auto"/>
        </w:rPr>
        <w:t xml:space="preserve">В </w:t>
      </w:r>
      <w:r w:rsidRPr="00575169">
        <w:t xml:space="preserve">докладе о правоприменительной практике </w:t>
      </w:r>
      <w:r w:rsidRPr="00575169">
        <w:rPr>
          <w:rFonts w:eastAsiaTheme="minorHAnsi"/>
          <w:lang w:eastAsia="en-US"/>
        </w:rPr>
        <w:t>контрольной деятельности управления за 2021 год</w:t>
      </w:r>
      <w:r w:rsidRPr="00575169">
        <w:t xml:space="preserve"> (далее – доклад о правоприменительной практике) отражены нормативные правовые акты, регламентирующие деятельность управления по осуществлению регионального государственного контроля (надзора) в сфере архивного дела в 2021 году, выявляемые типичные нарушения обязательных требований и рекомендации в отношении мер, которые должны приниматься контролируемыми лицами в целях недопущения таких нарушений. Отдельный блок доклада посвящен подготовке предложений по совершенствованию законодательства Российской Федерации, законов и иных нормативных правовых актов Новосибирской области об архивном деле, а также по реализации профилактических мероприятий для предупреждения нарушений обязательных требований в сфере архивного дела.</w:t>
      </w:r>
    </w:p>
    <w:p w:rsidR="00AE342F" w:rsidRPr="00575169" w:rsidRDefault="00D45807">
      <w:pPr>
        <w:pStyle w:val="22"/>
        <w:shd w:val="clear" w:color="auto" w:fill="auto"/>
        <w:spacing w:before="0" w:line="24" w:lineRule="atLeast"/>
        <w:ind w:firstLine="709"/>
      </w:pPr>
      <w:r w:rsidRPr="00575169">
        <w:t>Наиболее ценными для контролируемых лиц в докладе о правоприменительной практике являются рекомендации в отношении мер, которые должны ими приниматься в целях недопущения нарушений обязательных требований в сфере архивного дела;</w:t>
      </w:r>
    </w:p>
    <w:p w:rsidR="00AE342F" w:rsidRPr="00575169" w:rsidRDefault="00D45807">
      <w:pPr>
        <w:pStyle w:val="22"/>
        <w:shd w:val="clear" w:color="auto" w:fill="auto"/>
        <w:spacing w:before="0" w:line="24" w:lineRule="atLeast"/>
        <w:ind w:firstLine="709"/>
        <w:rPr>
          <w:rFonts w:eastAsiaTheme="minorHAnsi"/>
          <w:color w:val="auto"/>
          <w:lang w:eastAsia="en-US" w:bidi="ar-SA"/>
        </w:rPr>
      </w:pPr>
      <w:r w:rsidRPr="00575169">
        <w:t xml:space="preserve">2) Во исполнение пункта 8.3.4. раздела III Методических рекомендаций и пункта 11 Плана-графика на 2022 год </w:t>
      </w:r>
      <w:r w:rsidRPr="00575169">
        <w:rPr>
          <w:rFonts w:eastAsiaTheme="minorHAnsi"/>
          <w:color w:val="auto"/>
          <w:lang w:eastAsia="en-US" w:bidi="ar-SA"/>
        </w:rPr>
        <w:t xml:space="preserve">подготовлены и размещены на официальном сайте управления ежеквартальные обобщения практики осуществления регионального государственного контроля (надзора) за соблюдением законодательства об архивном деле в разделе «Деятельность/Контрольно-надзорная деятельность/Публичные обсуждения правоприменительной практики/ «Черная книга». В обобщениях практики отражены результаты проведенных в 1 квартале 2022 года внеплановых контрольных (надзорных) мероприятий, типичные нарушения, выявленные в ходе проведения проверок, а также меры, которые следует принимать контролируемым лицам для их устранения. В обобщениях практики, в том числе отражена информация об отмене плановых контрольных (надзорных) мероприятий на 2022 год и продлении сроков исполнения </w:t>
      </w:r>
      <w:r w:rsidRPr="00575169">
        <w:rPr>
          <w:rFonts w:eastAsia="Calibri"/>
          <w:color w:val="auto"/>
          <w:lang w:eastAsia="en-US" w:bidi="ar-SA"/>
        </w:rPr>
        <w:t>действующих предписаний об устранении выявленных</w:t>
      </w:r>
      <w:r w:rsidRPr="00575169">
        <w:rPr>
          <w:rFonts w:eastAsia="Calibri"/>
          <w:color w:val="000000" w:themeColor="text1"/>
        </w:rPr>
        <w:t xml:space="preserve"> </w:t>
      </w:r>
      <w:r w:rsidRPr="00575169">
        <w:rPr>
          <w:rFonts w:eastAsia="Calibri"/>
          <w:color w:val="auto"/>
          <w:lang w:eastAsia="en-US" w:bidi="ar-SA"/>
        </w:rPr>
        <w:t xml:space="preserve">нарушений обязательных требований </w:t>
      </w:r>
      <w:r w:rsidRPr="00575169">
        <w:rPr>
          <w:rFonts w:eastAsiaTheme="minorHAnsi"/>
          <w:color w:val="auto"/>
          <w:lang w:eastAsia="en-US" w:bidi="ar-SA"/>
        </w:rPr>
        <w:lastRenderedPageBreak/>
        <w:t>законодательства об архивном деле;</w:t>
      </w:r>
    </w:p>
    <w:p w:rsidR="00AE342F" w:rsidRPr="004738C7" w:rsidRDefault="00D45807">
      <w:pPr>
        <w:pStyle w:val="22"/>
        <w:shd w:val="clear" w:color="auto" w:fill="auto"/>
        <w:spacing w:before="0" w:line="24" w:lineRule="atLeast"/>
        <w:ind w:firstLine="709"/>
        <w:rPr>
          <w:rFonts w:eastAsiaTheme="minorHAnsi"/>
          <w:color w:val="auto"/>
          <w:lang w:eastAsia="en-US" w:bidi="ar-SA"/>
        </w:rPr>
      </w:pPr>
      <w:r w:rsidRPr="004738C7">
        <w:rPr>
          <w:rFonts w:eastAsiaTheme="minorHAnsi"/>
          <w:color w:val="auto"/>
          <w:lang w:eastAsia="en-US" w:bidi="ar-SA"/>
        </w:rPr>
        <w:t>3) В соответствии с утвержденным приказом управления от 17.12.2021 № 164 </w:t>
      </w:r>
      <w:r w:rsidRPr="004738C7">
        <w:rPr>
          <w:rFonts w:eastAsiaTheme="minorHAnsi"/>
          <w:color w:val="auto"/>
          <w:lang w:eastAsia="en-US" w:bidi="ar-SA"/>
        </w:rPr>
        <w:noBreakHyphen/>
        <w:t xml:space="preserve"> од Планом-графиком проведения публичных мероприятий на 2022 год (далее – План-график проведения публичных мероприятий, размещен на официальном сайте управления в разделе «Деятельность/Контрольно-надзорная деятельность/ Публичные обсуждения правоприменительной практики») </w:t>
      </w:r>
      <w:r w:rsidR="00A723A9" w:rsidRPr="004738C7">
        <w:rPr>
          <w:rFonts w:eastAsiaTheme="minorHAnsi"/>
          <w:color w:val="auto"/>
          <w:lang w:eastAsia="en-US" w:bidi="ar-SA"/>
        </w:rPr>
        <w:t xml:space="preserve">управлением </w:t>
      </w:r>
      <w:r w:rsidRPr="004738C7">
        <w:rPr>
          <w:rFonts w:eastAsiaTheme="minorHAnsi"/>
          <w:color w:val="auto"/>
          <w:lang w:eastAsia="en-US" w:bidi="ar-SA"/>
        </w:rPr>
        <w:t>в течение 2022 года проведены следующие мероприятия.</w:t>
      </w:r>
    </w:p>
    <w:p w:rsidR="00AE342F" w:rsidRPr="00575169" w:rsidRDefault="00D45807">
      <w:pPr>
        <w:pStyle w:val="22"/>
        <w:shd w:val="clear" w:color="auto" w:fill="auto"/>
        <w:spacing w:before="0" w:line="24" w:lineRule="atLeast"/>
        <w:ind w:firstLine="709"/>
      </w:pPr>
      <w:r w:rsidRPr="004738C7">
        <w:rPr>
          <w:rFonts w:eastAsiaTheme="minorHAnsi"/>
          <w:lang w:eastAsia="en-US"/>
        </w:rPr>
        <w:t>22 апреля 2022 года</w:t>
      </w:r>
      <w:r w:rsidRPr="004738C7">
        <w:t xml:space="preserve"> управление совместно с государственным казенным учреждением Новосибирской</w:t>
      </w:r>
      <w:r w:rsidRPr="00575169">
        <w:t xml:space="preserve"> области «Государственный архив Новосибирской области» (далее – государственный архив) провело семинар по теме «Обеспечение сохранности архивных документов, в том числе документов по личному составу». К участию в мероприятии приглашались представители организаций – источников комплектования государственного и муниципальных архивов Новосибирской области, включенных в списки источников в 2021 году, а также все желающие организации.</w:t>
      </w:r>
    </w:p>
    <w:p w:rsidR="00AE342F" w:rsidRPr="00575169" w:rsidRDefault="00D45807">
      <w:pPr>
        <w:spacing w:line="24" w:lineRule="atLeast"/>
        <w:ind w:firstLine="709"/>
        <w:jc w:val="both"/>
        <w:rPr>
          <w:rFonts w:ascii="Times New Roman" w:eastAsia="Calibri" w:hAnsi="Times New Roman" w:cs="Times New Roman"/>
          <w:color w:val="auto"/>
          <w:sz w:val="28"/>
          <w:szCs w:val="28"/>
          <w:lang w:eastAsia="en-US" w:bidi="ar-SA"/>
        </w:rPr>
      </w:pPr>
      <w:r w:rsidRPr="00575169">
        <w:rPr>
          <w:rFonts w:ascii="Times New Roman" w:hAnsi="Times New Roman" w:cs="Times New Roman"/>
          <w:sz w:val="28"/>
          <w:szCs w:val="28"/>
        </w:rPr>
        <w:t>Сотрудники управления и государственного архива выступили со следующими докладами: «</w:t>
      </w:r>
      <w:r w:rsidRPr="00575169">
        <w:rPr>
          <w:rFonts w:ascii="Times New Roman" w:eastAsia="Calibri" w:hAnsi="Times New Roman" w:cs="Times New Roman"/>
          <w:color w:val="auto"/>
          <w:sz w:val="28"/>
          <w:szCs w:val="28"/>
          <w:lang w:eastAsia="en-US" w:bidi="ar-SA"/>
        </w:rPr>
        <w:t>Осуществление регионального государственного контроля (надзора) в сфере архивного дела по новому законодательству, ответственность юридических лиц за его нарушение», «Новые нормативные документы в сфере делопроизводства и архивного дела», «Составление номенклатуры дел организации – источника комплектования архива», «</w:t>
      </w:r>
      <w:r w:rsidRPr="00575169">
        <w:rPr>
          <w:rFonts w:ascii="Times New Roman" w:eastAsia="Times New Roman" w:hAnsi="Times New Roman" w:cs="Times New Roman"/>
          <w:color w:val="auto"/>
          <w:sz w:val="28"/>
          <w:szCs w:val="28"/>
          <w:lang w:bidi="ar-SA"/>
        </w:rPr>
        <w:t>Недостатки, выявляемые при передаче архивных дел на государственное хранение», «</w:t>
      </w:r>
      <w:r w:rsidRPr="00575169">
        <w:rPr>
          <w:rFonts w:ascii="Times New Roman" w:eastAsia="Calibri" w:hAnsi="Times New Roman" w:cs="Times New Roman"/>
          <w:color w:val="auto"/>
          <w:sz w:val="28"/>
          <w:szCs w:val="28"/>
          <w:lang w:eastAsia="en-US" w:bidi="ar-SA"/>
        </w:rPr>
        <w:t>Мультимедийный архив Новосибирской области – новый взгляд на популяризацию архивных документов».</w:t>
      </w:r>
    </w:p>
    <w:p w:rsidR="00AE342F" w:rsidRPr="00575169" w:rsidRDefault="00D45807">
      <w:pPr>
        <w:spacing w:line="24" w:lineRule="atLeast"/>
        <w:ind w:firstLine="709"/>
        <w:jc w:val="both"/>
        <w:rPr>
          <w:rFonts w:ascii="Times New Roman" w:hAnsi="Times New Roman" w:cs="Times New Roman"/>
          <w:sz w:val="28"/>
          <w:szCs w:val="28"/>
        </w:rPr>
      </w:pPr>
      <w:r w:rsidRPr="00575169">
        <w:rPr>
          <w:rFonts w:ascii="Times New Roman" w:hAnsi="Times New Roman" w:cs="Times New Roman"/>
          <w:sz w:val="28"/>
          <w:szCs w:val="28"/>
        </w:rPr>
        <w:t>Мероприятие проведено в двух форматах – очно, с соблюдением ограничительных мер, в условиях действия на территории региона режима повышенной готовности в связи с распространением коронавирусной инфекции и дистанционно, с применением системы видеоконференцсвязи (Zoom). В указанном мероприятии очно приняли участие представители 15 организаций, дистанционно – 34.</w:t>
      </w:r>
    </w:p>
    <w:p w:rsidR="00AE342F" w:rsidRPr="00575169" w:rsidRDefault="00D45807">
      <w:pPr>
        <w:spacing w:line="24" w:lineRule="atLeast"/>
        <w:ind w:firstLine="709"/>
        <w:jc w:val="both"/>
        <w:rPr>
          <w:rFonts w:ascii="Times New Roman" w:eastAsiaTheme="minorHAnsi" w:hAnsi="Times New Roman" w:cs="Times New Roman"/>
          <w:color w:val="auto"/>
          <w:sz w:val="28"/>
          <w:szCs w:val="28"/>
          <w:lang w:eastAsia="en-US" w:bidi="ar-SA"/>
        </w:rPr>
      </w:pPr>
      <w:r w:rsidRPr="00575169">
        <w:rPr>
          <w:rFonts w:ascii="Times New Roman" w:eastAsiaTheme="minorHAnsi" w:hAnsi="Times New Roman" w:cs="Times New Roman"/>
          <w:color w:val="auto"/>
          <w:sz w:val="28"/>
          <w:szCs w:val="28"/>
          <w:lang w:eastAsia="en-US" w:bidi="ar-SA"/>
        </w:rPr>
        <w:t>28 октября 2022 года управление провело совместный с государственным архивом семинар по теме «Научно-техническая документация как один из видов документов, включаемых в состав Архивного фонда Новосибирской области. Обязанности контролируемых лиц по обеспечению сохранности и упорядочению научно-технической документации». Семинар проводился для организаций – источников комплектования государственного архива.</w:t>
      </w:r>
    </w:p>
    <w:p w:rsidR="00AE342F" w:rsidRPr="00575169" w:rsidRDefault="00D45807">
      <w:pPr>
        <w:spacing w:line="24" w:lineRule="atLeast"/>
        <w:ind w:firstLine="709"/>
        <w:jc w:val="both"/>
        <w:rPr>
          <w:rFonts w:ascii="Times New Roman" w:eastAsia="Calibri" w:hAnsi="Times New Roman" w:cs="Times New Roman"/>
          <w:bCs/>
          <w:color w:val="auto"/>
          <w:sz w:val="28"/>
          <w:szCs w:val="28"/>
          <w:lang w:eastAsia="en-US" w:bidi="ar-SA"/>
        </w:rPr>
      </w:pPr>
      <w:r w:rsidRPr="00575169">
        <w:rPr>
          <w:rFonts w:ascii="Times New Roman" w:hAnsi="Times New Roman" w:cs="Times New Roman"/>
          <w:sz w:val="28"/>
          <w:szCs w:val="28"/>
        </w:rPr>
        <w:t>Сотрудниками управления и государственного архива подготовлены доклады с презентациями по следующим тематикам: «Новые нормативные документы в сфере архивного дела», «</w:t>
      </w:r>
      <w:r w:rsidRPr="00575169">
        <w:rPr>
          <w:rFonts w:ascii="Times New Roman" w:eastAsia="Calibri" w:hAnsi="Times New Roman" w:cs="Times New Roman"/>
          <w:color w:val="auto"/>
          <w:sz w:val="28"/>
          <w:szCs w:val="28"/>
          <w:lang w:eastAsia="en-US" w:bidi="ar-SA"/>
        </w:rPr>
        <w:t xml:space="preserve">Научно-техническая документация как один из видов документов, включаемых в состав Архивного фонда Новосибирской области. Перечень </w:t>
      </w:r>
      <w:r w:rsidRPr="00575169">
        <w:rPr>
          <w:rFonts w:ascii="Times New Roman" w:eastAsia="Calibri" w:hAnsi="Times New Roman" w:cs="Times New Roman"/>
          <w:bCs/>
          <w:color w:val="auto"/>
          <w:sz w:val="28"/>
          <w:szCs w:val="28"/>
          <w:lang w:eastAsia="en-US" w:bidi="ar-SA"/>
        </w:rPr>
        <w:t>типовых архивных документов, образующихся в научно-технической и производственной деятельности организаций, с указанием сроков хранения», «</w:t>
      </w:r>
      <w:r w:rsidRPr="00575169">
        <w:rPr>
          <w:rFonts w:ascii="Times New Roman" w:eastAsia="Calibri" w:hAnsi="Times New Roman" w:cs="Times New Roman"/>
          <w:color w:val="auto"/>
          <w:sz w:val="28"/>
          <w:szCs w:val="28"/>
          <w:lang w:eastAsia="en-US" w:bidi="ar-SA"/>
        </w:rPr>
        <w:t xml:space="preserve">Нормативные требования к хранению научно-технической документации», «Составление номенклатуры дел», «Осуществление регионального государственного контроля (надзора) в </w:t>
      </w:r>
      <w:r w:rsidRPr="00575169">
        <w:rPr>
          <w:rFonts w:ascii="Times New Roman" w:eastAsia="Calibri" w:hAnsi="Times New Roman" w:cs="Times New Roman"/>
          <w:color w:val="auto"/>
          <w:sz w:val="28"/>
          <w:szCs w:val="28"/>
          <w:lang w:eastAsia="en-US" w:bidi="ar-SA"/>
        </w:rPr>
        <w:lastRenderedPageBreak/>
        <w:t xml:space="preserve">сфере архивного дела по новому законодательству, ответственность юридических лиц за его нарушение». </w:t>
      </w:r>
      <w:r w:rsidRPr="00575169">
        <w:rPr>
          <w:rFonts w:ascii="Times New Roman" w:eastAsia="Calibri" w:hAnsi="Times New Roman" w:cs="Times New Roman"/>
          <w:bCs/>
          <w:color w:val="auto"/>
          <w:sz w:val="28"/>
          <w:szCs w:val="28"/>
          <w:lang w:eastAsia="en-US" w:bidi="ar-SA"/>
        </w:rPr>
        <w:t>Мероприятие проведено в очном формате, с соблюдением ограничительных мер, его участниками стали представители 16 организаций.</w:t>
      </w:r>
    </w:p>
    <w:p w:rsidR="00AE342F" w:rsidRPr="00575169" w:rsidRDefault="00D45807">
      <w:pPr>
        <w:pStyle w:val="22"/>
        <w:shd w:val="clear" w:color="auto" w:fill="auto"/>
        <w:spacing w:before="0" w:line="24" w:lineRule="atLeast"/>
        <w:ind w:firstLine="709"/>
      </w:pPr>
      <w:r w:rsidRPr="00575169">
        <w:t>По итогам семинаров на официальном сайте управления в разделе «Деятельность/Контрольно-надзорная деятельность/Публичные обсуждения правоприменительной практики» размещены уведомления о проведении, программы семинаров, доклады и презентации к ним, видеозаписи мероприятий, итоги семинаров, обобщенные ответы на вопросы.</w:t>
      </w:r>
    </w:p>
    <w:p w:rsidR="00AE342F" w:rsidRPr="00575169" w:rsidRDefault="00D45807">
      <w:pPr>
        <w:spacing w:line="24" w:lineRule="atLeast"/>
        <w:ind w:firstLine="709"/>
        <w:jc w:val="both"/>
        <w:rPr>
          <w:rFonts w:ascii="Times New Roman" w:hAnsi="Times New Roman" w:cs="Times New Roman"/>
          <w:sz w:val="28"/>
          <w:szCs w:val="28"/>
        </w:rPr>
      </w:pPr>
      <w:r w:rsidRPr="00575169">
        <w:rPr>
          <w:rFonts w:ascii="Times New Roman" w:eastAsia="Calibri" w:hAnsi="Times New Roman" w:cs="Times New Roman"/>
          <w:color w:val="auto"/>
          <w:sz w:val="28"/>
          <w:szCs w:val="28"/>
          <w:lang w:eastAsia="en-US"/>
        </w:rPr>
        <w:t xml:space="preserve">23 декабря 2022 года </w:t>
      </w:r>
      <w:r w:rsidRPr="00575169">
        <w:rPr>
          <w:rFonts w:ascii="Times New Roman" w:hAnsi="Times New Roman" w:cs="Times New Roman"/>
          <w:sz w:val="28"/>
          <w:szCs w:val="28"/>
        </w:rPr>
        <w:t>проведены публичные обсуждения результатов правоприменительной практики управления за 11 месяцев 2022 года.</w:t>
      </w:r>
    </w:p>
    <w:p w:rsidR="00AE342F" w:rsidRPr="00575169" w:rsidRDefault="00D45807">
      <w:pPr>
        <w:spacing w:line="24" w:lineRule="atLeast"/>
        <w:ind w:firstLine="709"/>
        <w:jc w:val="both"/>
        <w:rPr>
          <w:rFonts w:ascii="Times New Roman" w:eastAsia="Calibri" w:hAnsi="Times New Roman" w:cs="Times New Roman"/>
          <w:color w:val="auto"/>
          <w:sz w:val="28"/>
          <w:szCs w:val="28"/>
          <w:lang w:eastAsia="en-US" w:bidi="ar-SA"/>
        </w:rPr>
      </w:pPr>
      <w:r w:rsidRPr="00575169">
        <w:rPr>
          <w:rFonts w:ascii="Times New Roman" w:hAnsi="Times New Roman" w:cs="Times New Roman"/>
          <w:sz w:val="28"/>
          <w:szCs w:val="28"/>
        </w:rPr>
        <w:t xml:space="preserve">Специалисты управления выступили с докладами: </w:t>
      </w:r>
      <w:r w:rsidRPr="00575169">
        <w:rPr>
          <w:rFonts w:ascii="Times New Roman" w:eastAsia="Calibri" w:hAnsi="Times New Roman" w:cs="Times New Roman"/>
          <w:color w:val="auto"/>
          <w:sz w:val="28"/>
          <w:szCs w:val="28"/>
          <w:lang w:eastAsia="en-US" w:bidi="ar-SA"/>
        </w:rPr>
        <w:t>«Контроль за соблюдением законодательства об архивном деле, ответственность юридических лиц за его нарушение. Результаты правоприменительной практики управления государственной архивной службы Новосибирский области за 11 месяцев 2022 года», «Новые нормативные документы в сфере архивного дела», «Категории риска. Критерии отнесения объектов контроля к категориям риска» с презентациями к ним.</w:t>
      </w:r>
    </w:p>
    <w:p w:rsidR="00AE342F" w:rsidRPr="00575169" w:rsidRDefault="00D45807">
      <w:pPr>
        <w:widowControl/>
        <w:spacing w:line="24" w:lineRule="atLeast"/>
        <w:ind w:firstLine="709"/>
        <w:jc w:val="both"/>
        <w:rPr>
          <w:rFonts w:ascii="Times New Roman" w:eastAsiaTheme="minorHAnsi" w:hAnsi="Times New Roman" w:cs="Times New Roman"/>
          <w:color w:val="auto"/>
          <w:sz w:val="28"/>
          <w:szCs w:val="28"/>
          <w:lang w:eastAsia="en-US" w:bidi="ar-SA"/>
        </w:rPr>
      </w:pPr>
      <w:r w:rsidRPr="00575169">
        <w:rPr>
          <w:rFonts w:ascii="Times New Roman" w:eastAsiaTheme="minorHAnsi" w:hAnsi="Times New Roman" w:cs="Times New Roman"/>
          <w:color w:val="auto"/>
          <w:sz w:val="28"/>
          <w:szCs w:val="28"/>
          <w:lang w:eastAsia="en-US" w:bidi="ar-SA"/>
        </w:rPr>
        <w:t>В обсуждениях приняли участие 21 человек, в том числе представители прокуратуры Новосибирской области и аппарата уполномоченного по защите прав предпринимателей в Новосибирской области.</w:t>
      </w:r>
    </w:p>
    <w:p w:rsidR="00AE342F" w:rsidRPr="00575169" w:rsidRDefault="00D45807">
      <w:pPr>
        <w:pStyle w:val="22"/>
        <w:shd w:val="clear" w:color="auto" w:fill="auto"/>
        <w:spacing w:before="0" w:line="24" w:lineRule="atLeast"/>
        <w:ind w:firstLine="709"/>
      </w:pPr>
      <w:r w:rsidRPr="00575169">
        <w:t>Согласно методическим рекомендациям по публичным обсуждениям все материалы (уведомление о проведении, программа мероприятия, доклады с презентациями, пресс-релиз по итогам, р</w:t>
      </w:r>
      <w:hyperlink r:id="rId25" w:history="1">
        <w:r w:rsidRPr="00575169">
          <w:t>езультаты анкетирования</w:t>
        </w:r>
      </w:hyperlink>
      <w:r w:rsidRPr="00575169">
        <w:t>, видеозапись мероприятия) размещены на официальном сайте управления в разделе «Деятельность/Контрольно-надзорная деятельность/Публичные обсуждения правоприменительной практики».</w:t>
      </w:r>
    </w:p>
    <w:p w:rsidR="00AE342F" w:rsidRPr="00575169" w:rsidRDefault="00D45807">
      <w:pPr>
        <w:spacing w:line="24" w:lineRule="atLeast"/>
        <w:ind w:firstLine="709"/>
        <w:jc w:val="both"/>
        <w:rPr>
          <w:rFonts w:ascii="Times New Roman" w:hAnsi="Times New Roman" w:cs="Times New Roman"/>
          <w:sz w:val="28"/>
          <w:szCs w:val="28"/>
        </w:rPr>
      </w:pPr>
      <w:r w:rsidRPr="00575169">
        <w:rPr>
          <w:rFonts w:ascii="Times New Roman" w:hAnsi="Times New Roman" w:cs="Times New Roman"/>
          <w:color w:val="auto"/>
          <w:sz w:val="28"/>
          <w:szCs w:val="28"/>
        </w:rPr>
        <w:t xml:space="preserve">Кроме того, </w:t>
      </w:r>
      <w:r w:rsidRPr="00575169">
        <w:rPr>
          <w:rFonts w:ascii="Times New Roman" w:hAnsi="Times New Roman" w:cs="Times New Roman"/>
          <w:sz w:val="28"/>
          <w:szCs w:val="28"/>
        </w:rPr>
        <w:t>22 декабря 2022 года на расширенном заседании коллегии управления, посвященном итогам работы архивной службы Новосибирской области в 2022 году и основным направлениям развития архивного дела в Новосибирской области на 2023 год, представлен развернутый доклад на тему «</w:t>
      </w:r>
      <w:r w:rsidRPr="00575169">
        <w:rPr>
          <w:rFonts w:ascii="Times New Roman" w:hAnsi="Times New Roman" w:cs="Times New Roman"/>
          <w:bCs/>
          <w:sz w:val="28"/>
          <w:szCs w:val="28"/>
        </w:rPr>
        <w:t>Осуществление регионального государственного контроля (надзора) в период действия моратория на проведение контрольных (надзорных) мероприятий</w:t>
      </w:r>
      <w:r w:rsidRPr="00575169">
        <w:rPr>
          <w:rFonts w:ascii="Times New Roman" w:hAnsi="Times New Roman" w:cs="Times New Roman"/>
          <w:sz w:val="28"/>
          <w:szCs w:val="28"/>
        </w:rPr>
        <w:t>», в котором подробно освящена деятельность управления в условиях введенного моратория на плановые контрольные (надзорные) мероприятия. Участие в расширенной коллегии приняли руководители и представители 48 архивных органов и учреждений субъекта;</w:t>
      </w:r>
    </w:p>
    <w:p w:rsidR="00AE342F" w:rsidRPr="00575169" w:rsidRDefault="00D45807">
      <w:pPr>
        <w:pStyle w:val="22"/>
        <w:shd w:val="clear" w:color="auto" w:fill="auto"/>
        <w:spacing w:before="0" w:line="24" w:lineRule="atLeast"/>
        <w:ind w:firstLine="709"/>
      </w:pPr>
      <w:r w:rsidRPr="00575169">
        <w:rPr>
          <w:rFonts w:eastAsiaTheme="minorHAnsi"/>
          <w:color w:val="auto"/>
          <w:lang w:eastAsia="en-US" w:bidi="ar-SA"/>
        </w:rPr>
        <w:t>4) </w:t>
      </w:r>
      <w:r w:rsidRPr="00575169">
        <w:t>Приказом управления от 07.12.2022 № 104-од утвержден План-график проведения публичных мероприятий на 2023 год управления. Документ размещен на официальном сайте управления в разделе «Деятельность/Контрольно-надзорная деятельность/Публичные обсуждения правоприменительной практики» (пункт 14 Плана-графика на 2022 год).</w:t>
      </w:r>
    </w:p>
    <w:p w:rsidR="00AE342F" w:rsidRPr="00575169" w:rsidRDefault="00D45807">
      <w:pPr>
        <w:pStyle w:val="22"/>
        <w:shd w:val="clear" w:color="auto" w:fill="auto"/>
        <w:spacing w:before="0" w:line="24" w:lineRule="atLeast"/>
        <w:ind w:firstLine="709"/>
        <w:rPr>
          <w:b/>
        </w:rPr>
      </w:pPr>
      <w:r w:rsidRPr="00575169">
        <w:rPr>
          <w:b/>
        </w:rPr>
        <w:t>3. Объявление предостережений контролируемым лицам.</w:t>
      </w:r>
    </w:p>
    <w:p w:rsidR="00AE342F" w:rsidRPr="00575169" w:rsidRDefault="00D45807">
      <w:pPr>
        <w:pStyle w:val="22"/>
        <w:shd w:val="clear" w:color="auto" w:fill="auto"/>
        <w:spacing w:before="0" w:line="24" w:lineRule="atLeast"/>
        <w:ind w:firstLine="709"/>
      </w:pPr>
      <w:r w:rsidRPr="00575169">
        <w:t>В случае наличия у управления сведений о готовящихся нарушениях обязательных требований</w:t>
      </w:r>
      <w:r w:rsidRPr="00575169">
        <w:rPr>
          <w:rFonts w:eastAsia="Calibri"/>
          <w:color w:val="auto"/>
          <w:lang w:eastAsia="en-US" w:bidi="ar-SA"/>
        </w:rPr>
        <w:t xml:space="preserve"> </w:t>
      </w:r>
      <w:r w:rsidRPr="00575169">
        <w:rPr>
          <w:rFonts w:eastAsiaTheme="minorHAnsi"/>
          <w:color w:val="auto"/>
          <w:lang w:eastAsia="en-US" w:bidi="ar-SA"/>
        </w:rPr>
        <w:t>законодательства об архивном деле</w:t>
      </w:r>
      <w:r w:rsidRPr="00575169">
        <w:t xml:space="preserve"> (далее – </w:t>
      </w:r>
      <w:r w:rsidRPr="00575169">
        <w:lastRenderedPageBreak/>
        <w:t>обязательные требования)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управление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E342F" w:rsidRPr="00575169" w:rsidRDefault="00D45807">
      <w:pPr>
        <w:pStyle w:val="22"/>
        <w:shd w:val="clear" w:color="auto" w:fill="auto"/>
        <w:spacing w:before="0" w:line="24" w:lineRule="atLeast"/>
        <w:ind w:firstLine="709"/>
      </w:pPr>
      <w:r w:rsidRPr="00575169">
        <w:t xml:space="preserve">Предостережение объявлялось и направлялось контролируемому лицу в порядке, предусмотренном Федеральным </w:t>
      </w:r>
      <w:hyperlink r:id="rId26" w:history="1">
        <w:r w:rsidRPr="00575169">
          <w:t>законом</w:t>
        </w:r>
      </w:hyperlink>
      <w:r w:rsidRPr="00575169">
        <w:t xml:space="preserve"> от 31.07.2020 № 248-ФЗ «О государственном контроле (надзоре) и муниципальном контроле в Российской Федерации», и содержало указание на соответствующие обязательные требования, предусматривающие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AE342F" w:rsidRPr="00575169" w:rsidRDefault="00D45807">
      <w:pPr>
        <w:pStyle w:val="22"/>
        <w:shd w:val="clear" w:color="auto" w:fill="auto"/>
        <w:spacing w:before="0" w:line="24" w:lineRule="atLeast"/>
        <w:ind w:firstLine="709"/>
      </w:pPr>
      <w:r w:rsidRPr="00575169">
        <w:t xml:space="preserve">В соответствии с частью 1 статьи 49 Федерального </w:t>
      </w:r>
      <w:hyperlink r:id="rId27" w:history="1">
        <w:r w:rsidRPr="00575169">
          <w:t>закона</w:t>
        </w:r>
      </w:hyperlink>
      <w:r w:rsidRPr="00575169">
        <w:t xml:space="preserve"> от 31.07.2020 № 248- ФЗ «О государственном контроле (надзоре) и муниципальном контроле в Российской Федерации» за 2022 год управлением вынесено 28 предостережений, из них в отношении:</w:t>
      </w:r>
    </w:p>
    <w:p w:rsidR="00AE342F" w:rsidRPr="00575169" w:rsidRDefault="00D45807">
      <w:pPr>
        <w:pStyle w:val="22"/>
        <w:shd w:val="clear" w:color="auto" w:fill="auto"/>
        <w:spacing w:before="0" w:line="24" w:lineRule="atLeast"/>
        <w:ind w:firstLine="709"/>
      </w:pPr>
      <w:r w:rsidRPr="00575169">
        <w:t>5 контролируемых лиц, имеющих среднюю категорию риска:</w:t>
      </w:r>
    </w:p>
    <w:p w:rsidR="00AE342F" w:rsidRPr="00575169" w:rsidRDefault="00D45807">
      <w:pPr>
        <w:pStyle w:val="22"/>
        <w:shd w:val="clear" w:color="auto" w:fill="auto"/>
        <w:spacing w:before="0" w:line="24" w:lineRule="atLeast"/>
        <w:ind w:firstLine="709"/>
      </w:pPr>
      <w:r w:rsidRPr="00575169">
        <w:t>1) акционерное общество «Астон. Стройтрест 43»;</w:t>
      </w:r>
    </w:p>
    <w:p w:rsidR="00AE342F" w:rsidRPr="00575169" w:rsidRDefault="00D45807">
      <w:pPr>
        <w:pStyle w:val="22"/>
        <w:shd w:val="clear" w:color="auto" w:fill="auto"/>
        <w:spacing w:before="0" w:line="24" w:lineRule="atLeast"/>
        <w:ind w:firstLine="709"/>
      </w:pPr>
      <w:r w:rsidRPr="00575169">
        <w:t>2) акционерное общество «ЗСК»;</w:t>
      </w:r>
    </w:p>
    <w:p w:rsidR="00AE342F" w:rsidRPr="00575169" w:rsidRDefault="00D45807">
      <w:pPr>
        <w:pStyle w:val="22"/>
        <w:shd w:val="clear" w:color="auto" w:fill="auto"/>
        <w:spacing w:before="0" w:line="24" w:lineRule="atLeast"/>
        <w:ind w:firstLine="709"/>
      </w:pPr>
      <w:r w:rsidRPr="00575169">
        <w:t>3) департамент по социальной политике мэрии города Новосибирска;</w:t>
      </w:r>
    </w:p>
    <w:p w:rsidR="00AE342F" w:rsidRPr="00575169" w:rsidRDefault="00D45807">
      <w:pPr>
        <w:pStyle w:val="22"/>
        <w:shd w:val="clear" w:color="auto" w:fill="auto"/>
        <w:spacing w:before="0" w:line="24" w:lineRule="atLeast"/>
        <w:ind w:firstLine="709"/>
      </w:pPr>
      <w:r w:rsidRPr="00575169">
        <w:t>4) избирательная комиссия муниципального образования города Оби Новосибирской области;</w:t>
      </w:r>
    </w:p>
    <w:p w:rsidR="00AE342F" w:rsidRPr="00575169" w:rsidRDefault="00D45807">
      <w:pPr>
        <w:pStyle w:val="22"/>
        <w:shd w:val="clear" w:color="auto" w:fill="auto"/>
        <w:spacing w:before="0" w:line="24" w:lineRule="atLeast"/>
        <w:ind w:firstLine="709"/>
      </w:pPr>
      <w:r w:rsidRPr="00575169">
        <w:t>5) министерство транспорта и дорожного хозяйства Новосибирской области.</w:t>
      </w:r>
    </w:p>
    <w:p w:rsidR="00AE342F" w:rsidRPr="00575169" w:rsidRDefault="00D45807">
      <w:pPr>
        <w:pStyle w:val="22"/>
        <w:shd w:val="clear" w:color="auto" w:fill="auto"/>
        <w:spacing w:before="0" w:line="24" w:lineRule="atLeast"/>
        <w:ind w:firstLine="709"/>
      </w:pPr>
      <w:r w:rsidRPr="00575169">
        <w:t>20 контролируемых лиц, имеющих умеренную категорию риска:</w:t>
      </w:r>
    </w:p>
    <w:p w:rsidR="00AE342F" w:rsidRPr="00575169" w:rsidRDefault="00D45807">
      <w:pPr>
        <w:pStyle w:val="22"/>
        <w:shd w:val="clear" w:color="auto" w:fill="auto"/>
        <w:spacing w:before="0" w:line="24" w:lineRule="atLeast"/>
        <w:ind w:firstLine="709"/>
      </w:pPr>
      <w:r w:rsidRPr="00575169">
        <w:t>1) администрация Ленинского района города Новосибирска;</w:t>
      </w:r>
    </w:p>
    <w:p w:rsidR="00AE342F" w:rsidRPr="00575169" w:rsidRDefault="00D45807">
      <w:pPr>
        <w:pStyle w:val="22"/>
        <w:shd w:val="clear" w:color="auto" w:fill="auto"/>
        <w:spacing w:before="0" w:line="24" w:lineRule="atLeast"/>
        <w:ind w:firstLine="709"/>
      </w:pPr>
      <w:r w:rsidRPr="00575169">
        <w:t>2) администрация Центрального округа по Железнодорожному, Заельцовскому и Центральному районам города Новосибирска;</w:t>
      </w:r>
    </w:p>
    <w:p w:rsidR="00AE342F" w:rsidRPr="00575169" w:rsidRDefault="00D45807">
      <w:pPr>
        <w:pStyle w:val="22"/>
        <w:shd w:val="clear" w:color="auto" w:fill="auto"/>
        <w:spacing w:before="0" w:line="24" w:lineRule="atLeast"/>
        <w:ind w:firstLine="709"/>
      </w:pPr>
      <w:r w:rsidRPr="00575169">
        <w:t>3) акционерное общество «Новосибирский металлургический завод им. Кузьмина»;</w:t>
      </w:r>
    </w:p>
    <w:p w:rsidR="00AE342F" w:rsidRPr="00575169" w:rsidRDefault="00D45807">
      <w:pPr>
        <w:pStyle w:val="22"/>
        <w:shd w:val="clear" w:color="auto" w:fill="auto"/>
        <w:spacing w:before="0" w:line="24" w:lineRule="atLeast"/>
        <w:ind w:firstLine="709"/>
      </w:pPr>
      <w:r w:rsidRPr="00575169">
        <w:t>4) государственное автономное учреждение дополнительного профессионального образования Новосибирской области «Новосибирский центр развития профессионального образования»;</w:t>
      </w:r>
    </w:p>
    <w:p w:rsidR="00AE342F" w:rsidRPr="00575169" w:rsidRDefault="00D45807">
      <w:pPr>
        <w:pStyle w:val="22"/>
        <w:shd w:val="clear" w:color="auto" w:fill="auto"/>
        <w:spacing w:before="0" w:line="24" w:lineRule="atLeast"/>
        <w:ind w:firstLine="709"/>
      </w:pPr>
      <w:r w:rsidRPr="00575169">
        <w:t>5) государственное автономное учреждение Новосибирской области «Региональный центр спортивной подготовки сборных команд и спортивного резерва»;</w:t>
      </w:r>
    </w:p>
    <w:p w:rsidR="00AE342F" w:rsidRPr="00575169" w:rsidRDefault="00D45807">
      <w:pPr>
        <w:pStyle w:val="22"/>
        <w:shd w:val="clear" w:color="auto" w:fill="auto"/>
        <w:spacing w:before="0" w:line="24" w:lineRule="atLeast"/>
        <w:ind w:firstLine="709"/>
      </w:pPr>
      <w:r w:rsidRPr="00575169">
        <w:t>6) государственное бюджетное учреждение здравоохранения Новосибирской области «Новосибирское областное клиническое бюро судебно-медицинской экспертизы»;</w:t>
      </w:r>
    </w:p>
    <w:p w:rsidR="00AE342F" w:rsidRPr="00575169" w:rsidRDefault="00D45807">
      <w:pPr>
        <w:pStyle w:val="22"/>
        <w:shd w:val="clear" w:color="auto" w:fill="auto"/>
        <w:spacing w:before="0" w:line="24" w:lineRule="atLeast"/>
        <w:ind w:firstLine="709"/>
      </w:pPr>
      <w:r w:rsidRPr="00575169">
        <w:t xml:space="preserve">7) государственное казенное учреждение Новосибирской области </w:t>
      </w:r>
      <w:r w:rsidRPr="00575169">
        <w:lastRenderedPageBreak/>
        <w:t>«Природоохранная инспекция»;</w:t>
      </w:r>
    </w:p>
    <w:p w:rsidR="00AE342F" w:rsidRPr="00575169" w:rsidRDefault="00D45807">
      <w:pPr>
        <w:pStyle w:val="22"/>
        <w:shd w:val="clear" w:color="auto" w:fill="auto"/>
        <w:spacing w:before="0" w:line="24" w:lineRule="atLeast"/>
        <w:ind w:firstLine="709"/>
      </w:pPr>
      <w:r w:rsidRPr="00575169">
        <w:t>8) департамент по тарифам Новосибирской области;</w:t>
      </w:r>
    </w:p>
    <w:p w:rsidR="00AE342F" w:rsidRPr="00575169" w:rsidRDefault="00D45807">
      <w:pPr>
        <w:pStyle w:val="22"/>
        <w:shd w:val="clear" w:color="auto" w:fill="auto"/>
        <w:spacing w:before="0" w:line="24" w:lineRule="atLeast"/>
        <w:ind w:firstLine="709"/>
      </w:pPr>
      <w:r w:rsidRPr="00575169">
        <w:t>9) департамент транспорта и дорожно-благоустроительного комплекса мэрии города Новосибирска;</w:t>
      </w:r>
    </w:p>
    <w:p w:rsidR="00AE342F" w:rsidRPr="00575169" w:rsidRDefault="00D45807">
      <w:pPr>
        <w:pStyle w:val="22"/>
        <w:shd w:val="clear" w:color="auto" w:fill="auto"/>
        <w:spacing w:before="0" w:line="24" w:lineRule="atLeast"/>
        <w:ind w:firstLine="709"/>
      </w:pPr>
      <w:r w:rsidRPr="00575169">
        <w:t>10) департамент энергетики, жилищного и коммунального хозяйства города;</w:t>
      </w:r>
    </w:p>
    <w:p w:rsidR="00AE342F" w:rsidRPr="00575169" w:rsidRDefault="00D45807">
      <w:pPr>
        <w:pStyle w:val="22"/>
        <w:shd w:val="clear" w:color="auto" w:fill="auto"/>
        <w:spacing w:before="0" w:line="24" w:lineRule="atLeast"/>
        <w:ind w:firstLine="709"/>
      </w:pPr>
      <w:r w:rsidRPr="00575169">
        <w:t>11) Контрольно-счетная палата Новосибирской области;</w:t>
      </w:r>
    </w:p>
    <w:p w:rsidR="00AE342F" w:rsidRPr="00575169" w:rsidRDefault="00D45807">
      <w:pPr>
        <w:pStyle w:val="22"/>
        <w:shd w:val="clear" w:color="auto" w:fill="auto"/>
        <w:spacing w:before="0" w:line="24" w:lineRule="atLeast"/>
        <w:ind w:firstLine="709"/>
      </w:pPr>
      <w:r w:rsidRPr="00575169">
        <w:t>12) министерство жилищно-коммунального хозяйства и энергетики Новосибирской области;</w:t>
      </w:r>
    </w:p>
    <w:p w:rsidR="00AE342F" w:rsidRPr="00575169" w:rsidRDefault="00D45807">
      <w:pPr>
        <w:pStyle w:val="22"/>
        <w:shd w:val="clear" w:color="auto" w:fill="auto"/>
        <w:spacing w:before="0" w:line="24" w:lineRule="atLeast"/>
        <w:ind w:firstLine="709"/>
      </w:pPr>
      <w:r w:rsidRPr="00575169">
        <w:t>13) министерство природных ресурсов и экологии Новосибирской области;</w:t>
      </w:r>
    </w:p>
    <w:p w:rsidR="00AE342F" w:rsidRPr="00575169" w:rsidRDefault="00D45807">
      <w:pPr>
        <w:pStyle w:val="22"/>
        <w:shd w:val="clear" w:color="auto" w:fill="auto"/>
        <w:spacing w:before="0" w:line="24" w:lineRule="atLeast"/>
        <w:ind w:firstLine="709"/>
      </w:pPr>
      <w:r w:rsidRPr="00575169">
        <w:t>14) министерство сельского хозяйства Новосибирской области;</w:t>
      </w:r>
    </w:p>
    <w:p w:rsidR="00AE342F" w:rsidRPr="00575169" w:rsidRDefault="00D45807">
      <w:pPr>
        <w:pStyle w:val="22"/>
        <w:shd w:val="clear" w:color="auto" w:fill="auto"/>
        <w:spacing w:before="0" w:line="24" w:lineRule="atLeast"/>
        <w:ind w:firstLine="709"/>
      </w:pPr>
      <w:r w:rsidRPr="00575169">
        <w:t>15) министерство физической культуры и спорта Новосибирской области;</w:t>
      </w:r>
    </w:p>
    <w:p w:rsidR="00AE342F" w:rsidRPr="00575169" w:rsidRDefault="00D45807">
      <w:pPr>
        <w:pStyle w:val="22"/>
        <w:shd w:val="clear" w:color="auto" w:fill="auto"/>
        <w:spacing w:before="0" w:line="24" w:lineRule="atLeast"/>
        <w:ind w:firstLine="709"/>
      </w:pPr>
      <w:r w:rsidRPr="00575169">
        <w:t>16) муниципальное бюджетное общеобразовательное учреждение города Новосибирска «Аэрокосмический лицей имени Ю.В. Кондратюка»;</w:t>
      </w:r>
    </w:p>
    <w:p w:rsidR="00AE342F" w:rsidRPr="00575169" w:rsidRDefault="00D45807">
      <w:pPr>
        <w:pStyle w:val="22"/>
        <w:shd w:val="clear" w:color="auto" w:fill="auto"/>
        <w:spacing w:before="0" w:line="24" w:lineRule="atLeast"/>
        <w:ind w:firstLine="709"/>
      </w:pPr>
      <w:r w:rsidRPr="00575169">
        <w:t>17) Новосибирская областная организация общественно-государственного объединения «Всероссийское физкультурно-спортивное общество «Динамо»;</w:t>
      </w:r>
    </w:p>
    <w:p w:rsidR="00AE342F" w:rsidRPr="00575169" w:rsidRDefault="00D45807">
      <w:pPr>
        <w:pStyle w:val="22"/>
        <w:shd w:val="clear" w:color="auto" w:fill="auto"/>
        <w:spacing w:before="0" w:line="24" w:lineRule="atLeast"/>
        <w:ind w:firstLine="709"/>
      </w:pPr>
      <w:r w:rsidRPr="00575169">
        <w:t>18) региональное отделение общероссийской общественно-государственной организации «Добровольное общество содействия армии, авиации и флоту России» Новосибирской области;</w:t>
      </w:r>
    </w:p>
    <w:p w:rsidR="00AE342F" w:rsidRPr="00575169" w:rsidRDefault="00D45807">
      <w:pPr>
        <w:pStyle w:val="22"/>
        <w:shd w:val="clear" w:color="auto" w:fill="auto"/>
        <w:spacing w:before="0" w:line="24" w:lineRule="atLeast"/>
        <w:ind w:firstLine="709"/>
      </w:pPr>
      <w:r w:rsidRPr="00575169">
        <w:t>19) уполномоченный по защите прав предпринимателей в Новосибирской области и аппарат уполномоченного;</w:t>
      </w:r>
    </w:p>
    <w:p w:rsidR="00AE342F" w:rsidRPr="00575169" w:rsidRDefault="00D45807">
      <w:pPr>
        <w:pStyle w:val="22"/>
        <w:shd w:val="clear" w:color="auto" w:fill="auto"/>
        <w:spacing w:before="0" w:line="24" w:lineRule="atLeast"/>
        <w:ind w:firstLine="709"/>
      </w:pPr>
      <w:r w:rsidRPr="00575169">
        <w:t>20) управление ветеринарии Новосибирской области.</w:t>
      </w:r>
    </w:p>
    <w:p w:rsidR="00AE342F" w:rsidRPr="00575169" w:rsidRDefault="00D45807">
      <w:pPr>
        <w:pStyle w:val="22"/>
        <w:shd w:val="clear" w:color="auto" w:fill="auto"/>
        <w:spacing w:before="0" w:line="24" w:lineRule="atLeast"/>
        <w:ind w:firstLine="709"/>
      </w:pPr>
      <w:r w:rsidRPr="00575169">
        <w:t>3 контролируемых лиц, допустивших утраты архивных документов:</w:t>
      </w:r>
    </w:p>
    <w:p w:rsidR="00AE342F" w:rsidRPr="00575169" w:rsidRDefault="00D45807">
      <w:pPr>
        <w:pStyle w:val="22"/>
        <w:shd w:val="clear" w:color="auto" w:fill="auto"/>
        <w:spacing w:before="0" w:line="24" w:lineRule="atLeast"/>
        <w:ind w:firstLine="709"/>
      </w:pPr>
      <w:r w:rsidRPr="00575169">
        <w:t>1) акционерное общество «Астон. Стройтрест 43».</w:t>
      </w:r>
    </w:p>
    <w:p w:rsidR="00AE342F" w:rsidRPr="00575169" w:rsidRDefault="00D45807">
      <w:pPr>
        <w:pStyle w:val="22"/>
        <w:shd w:val="clear" w:color="auto" w:fill="auto"/>
        <w:spacing w:before="0" w:line="24" w:lineRule="atLeast"/>
        <w:ind w:firstLine="709"/>
      </w:pPr>
      <w:r w:rsidRPr="00575169">
        <w:t>2) акционерное общество «ЗСК»;</w:t>
      </w:r>
    </w:p>
    <w:p w:rsidR="00AE342F" w:rsidRPr="00575169" w:rsidRDefault="00D45807">
      <w:pPr>
        <w:pStyle w:val="22"/>
        <w:shd w:val="clear" w:color="auto" w:fill="auto"/>
        <w:spacing w:before="0" w:line="24" w:lineRule="atLeast"/>
        <w:ind w:firstLine="709"/>
      </w:pPr>
      <w:r w:rsidRPr="00575169">
        <w:t>3) государственное автономное учреждение Новосибирской области «Новосибирский государственный академический Ордена Трудового Красного Знамени драматический театр «Красный факел»;</w:t>
      </w:r>
    </w:p>
    <w:p w:rsidR="00AE342F" w:rsidRPr="00575169" w:rsidRDefault="00D45807">
      <w:pPr>
        <w:pStyle w:val="22"/>
        <w:shd w:val="clear" w:color="auto" w:fill="auto"/>
        <w:spacing w:before="0" w:line="24" w:lineRule="atLeast"/>
        <w:ind w:firstLine="709"/>
      </w:pPr>
      <w:r w:rsidRPr="00575169">
        <w:t>По состоянию на 1 января 2023 года:</w:t>
      </w:r>
    </w:p>
    <w:p w:rsidR="00AE342F" w:rsidRPr="00575169" w:rsidRDefault="00D45807">
      <w:pPr>
        <w:pStyle w:val="22"/>
        <w:shd w:val="clear" w:color="auto" w:fill="auto"/>
        <w:spacing w:before="0" w:line="24" w:lineRule="atLeast"/>
        <w:ind w:firstLine="709"/>
      </w:pPr>
      <w:r w:rsidRPr="00575169">
        <w:t>9 контролируемых лиц исполнили предостережения в полном объеме:</w:t>
      </w:r>
    </w:p>
    <w:p w:rsidR="00AE342F" w:rsidRPr="00575169" w:rsidRDefault="00D45807">
      <w:pPr>
        <w:pStyle w:val="22"/>
        <w:shd w:val="clear" w:color="auto" w:fill="auto"/>
        <w:spacing w:before="0" w:line="24" w:lineRule="atLeast"/>
        <w:ind w:firstLine="709"/>
      </w:pPr>
      <w:r w:rsidRPr="00575169">
        <w:t>1) администрацией Ленинского района города Новосибирска выделено помещение для размещения архивных документов, образовавшихся в процессе их деятельности, обеспечены нормативные условия их хранения, переданы в муниципальное казенное учреждение города Новосибирска «Новосибирский городской архив» (далее – МКУ «Горархив») документы, включенные в состав Архивного фонда Российской Федерации, за 2000–2015 годы;</w:t>
      </w:r>
    </w:p>
    <w:p w:rsidR="00AE342F" w:rsidRPr="00575169" w:rsidRDefault="00D45807">
      <w:pPr>
        <w:pStyle w:val="22"/>
        <w:shd w:val="clear" w:color="auto" w:fill="auto"/>
        <w:spacing w:before="0" w:line="24" w:lineRule="atLeast"/>
        <w:ind w:firstLine="709"/>
      </w:pPr>
      <w:r w:rsidRPr="00575169">
        <w:t>2) администрацией Центрального округа по Железнодорожному, Заельцовскому и Центральному районам города Новосибирска переданы в МКУ «Горархив» документы, включенные в состав Архивного фонда Российской Федерации, за 1997–2014 годы;</w:t>
      </w:r>
    </w:p>
    <w:p w:rsidR="00AE342F" w:rsidRPr="00575169" w:rsidRDefault="00D45807">
      <w:pPr>
        <w:pStyle w:val="22"/>
        <w:shd w:val="clear" w:color="auto" w:fill="auto"/>
        <w:spacing w:before="0" w:line="24" w:lineRule="atLeast"/>
        <w:ind w:firstLine="709"/>
      </w:pPr>
      <w:r w:rsidRPr="00575169">
        <w:t xml:space="preserve">3) департаментом по социальной политике мэрии города Новосибирска упорядочены документы постоянного хранения и по личному составу за 2016–2017 годы, описи дел постоянного хранения и по личному составу за указанный период утверждены и согласованы на заседании экспертно-проверочной </w:t>
      </w:r>
      <w:r w:rsidRPr="00575169">
        <w:lastRenderedPageBreak/>
        <w:t>комиссии (далее – ЭПК) управления;</w:t>
      </w:r>
    </w:p>
    <w:p w:rsidR="00AE342F" w:rsidRPr="00575169" w:rsidRDefault="00D45807">
      <w:pPr>
        <w:pStyle w:val="22"/>
        <w:shd w:val="clear" w:color="auto" w:fill="auto"/>
        <w:spacing w:before="0" w:line="24" w:lineRule="atLeast"/>
        <w:ind w:firstLine="709"/>
      </w:pPr>
      <w:r w:rsidRPr="00575169">
        <w:t>4) департаментом транспорта и дорожно-благоустроительного комплекса мэрии города Новосибирска составлена номенклатура дел по установленной форме, на основании Перечня типовых управленческих архивных документов, образующихся в процессе деятельности органов местного самоуправления, утвержденного приказом Федерального архивного агентства от 20.12.2019 № 236 (далее – Перечень архивных документов), и согласована экспертно-проверочной комиссией МКУ «Горархив»;</w:t>
      </w:r>
    </w:p>
    <w:p w:rsidR="00AE342F" w:rsidRPr="00575169" w:rsidRDefault="00D45807">
      <w:pPr>
        <w:pStyle w:val="22"/>
        <w:shd w:val="clear" w:color="auto" w:fill="auto"/>
        <w:spacing w:before="0" w:line="24" w:lineRule="atLeast"/>
        <w:ind w:firstLine="709"/>
      </w:pPr>
      <w:r w:rsidRPr="00575169">
        <w:t>5) департаментом энергетики, жилищного и коммунального хозяйства города упорядочены документы по личному составу за 2016–2017 годы, описи дел по личному составу за указанный период согласованы на заседании ЭПК управления;</w:t>
      </w:r>
    </w:p>
    <w:p w:rsidR="00AE342F" w:rsidRPr="00575169" w:rsidRDefault="00D45807">
      <w:pPr>
        <w:pStyle w:val="22"/>
        <w:shd w:val="clear" w:color="auto" w:fill="auto"/>
        <w:spacing w:before="0" w:line="24" w:lineRule="atLeast"/>
        <w:ind w:firstLine="709"/>
      </w:pPr>
      <w:r w:rsidRPr="00575169">
        <w:t>6) избирательной комиссией муниципального образования города Оби Новосибирской области упорядочены документы постоянного хранения за 2016–2017 годы, по личному составу за 2005–2017 годы, описи дел постоянного хранения и по личному составу за указанные периоды утверждены и согласованы на заседании ЭПК управления, составлена номенклатура дел по установленной форме, на основании Перечня архивных документов и согласована отделом архивной службы и организационно-распорядительных документов администрации города Оби Новосибирской области согласно переданным полномочиям;</w:t>
      </w:r>
    </w:p>
    <w:p w:rsidR="00AE342F" w:rsidRPr="00575169" w:rsidRDefault="00D45807">
      <w:pPr>
        <w:pStyle w:val="22"/>
        <w:shd w:val="clear" w:color="auto" w:fill="auto"/>
        <w:spacing w:before="0" w:line="24" w:lineRule="atLeast"/>
        <w:ind w:firstLine="709"/>
      </w:pPr>
      <w:r w:rsidRPr="00575169">
        <w:t>7) Контрольно-счетной палатой Новосибирской области выделено помещение для размещения архивных документов, образовавшихся в процессе их деятельности, обеспечены нормативные условия их хранения, составлена номенклатура дел по установленной форме, на основании Перечня архивных документов и согласована ЭПК управления в установленном порядке;</w:t>
      </w:r>
    </w:p>
    <w:p w:rsidR="00AE342F" w:rsidRPr="00575169" w:rsidRDefault="00D45807">
      <w:pPr>
        <w:pStyle w:val="22"/>
        <w:shd w:val="clear" w:color="auto" w:fill="auto"/>
        <w:spacing w:before="0" w:line="24" w:lineRule="atLeast"/>
        <w:ind w:firstLine="709"/>
      </w:pPr>
      <w:r w:rsidRPr="00575169">
        <w:t>8) уполномоченным по защите прав предпринимателей в Новосибирской области и аппаратом уполномоченного составлена номенклатура дел по установленной форме, на основании Перечня архивных документов и согласована ЭПК управления в установленном порядке;</w:t>
      </w:r>
    </w:p>
    <w:p w:rsidR="00AE342F" w:rsidRPr="00575169" w:rsidRDefault="00D45807">
      <w:pPr>
        <w:pStyle w:val="22"/>
        <w:shd w:val="clear" w:color="auto" w:fill="auto"/>
        <w:spacing w:before="0" w:line="24" w:lineRule="atLeast"/>
        <w:ind w:firstLine="709"/>
      </w:pPr>
      <w:r w:rsidRPr="00575169">
        <w:t>9) управлением ветеринарии Новосибирской области составлена номенклатура дел по установленной форме, на основании Перечня архивных документов и согласована ЭПК управления в установленном порядке.</w:t>
      </w:r>
    </w:p>
    <w:p w:rsidR="00AE342F" w:rsidRPr="00575169" w:rsidRDefault="00D45807">
      <w:pPr>
        <w:pStyle w:val="22"/>
        <w:shd w:val="clear" w:color="auto" w:fill="auto"/>
        <w:spacing w:before="0" w:line="24" w:lineRule="atLeast"/>
        <w:ind w:firstLine="709"/>
      </w:pPr>
      <w:r w:rsidRPr="00575169">
        <w:t>10 контролируемых лиц исполнили предостережения частично:</w:t>
      </w:r>
    </w:p>
    <w:p w:rsidR="00AE342F" w:rsidRPr="00575169" w:rsidRDefault="00D45807">
      <w:pPr>
        <w:pStyle w:val="22"/>
        <w:shd w:val="clear" w:color="auto" w:fill="auto"/>
        <w:spacing w:before="0" w:line="24" w:lineRule="atLeast"/>
        <w:ind w:firstLine="709"/>
      </w:pPr>
      <w:r w:rsidRPr="00575169">
        <w:t>1) акционерным обществом «Астон. Стройтрест 43» переданы в государственный архив документы, включенные в состав Архивного фонда Российской Федерации, за 2006–2010 годы, упорядочены документы постоянного хранения и по личному составу за 2017 год, описи дел постоянного хранения и по личному составу за указанный период утверждены и согласованы на заседании ЭПК управления;</w:t>
      </w:r>
    </w:p>
    <w:p w:rsidR="00AE342F" w:rsidRPr="00575169" w:rsidRDefault="00D45807">
      <w:pPr>
        <w:pStyle w:val="22"/>
        <w:shd w:val="clear" w:color="auto" w:fill="auto"/>
        <w:spacing w:before="0" w:line="24" w:lineRule="atLeast"/>
        <w:ind w:firstLine="709"/>
      </w:pPr>
      <w:r w:rsidRPr="00575169">
        <w:t>2) акционерным обществом «ЗСК» упорядочены документы постоянного хранения и по личному составу за 2017 год, описи дел постоянного хранения и по личному составу за указанный период утверждены и согласованы на заседании ЭПК управления, составлена номенклатура дел по установленной форме, на основании Перечня архивных документов и согласована экспертно-</w:t>
      </w:r>
      <w:r w:rsidRPr="00575169">
        <w:lastRenderedPageBreak/>
        <w:t>методической комиссией государственного архива согласно переданным полномочиям;</w:t>
      </w:r>
    </w:p>
    <w:p w:rsidR="00AE342F" w:rsidRPr="00575169" w:rsidRDefault="00D45807">
      <w:pPr>
        <w:pStyle w:val="22"/>
        <w:shd w:val="clear" w:color="auto" w:fill="auto"/>
        <w:spacing w:before="0" w:line="24" w:lineRule="atLeast"/>
        <w:ind w:firstLine="709"/>
      </w:pPr>
      <w:r w:rsidRPr="00575169">
        <w:t>3) государственным автономным учреждением дополнительного профессионального образования Новосибирской области «Новосибирский центр развития профессионального образования» упорядочены документы постоянного хранения и по личному составу за 1974–2017 годы, описи дел постоянного хранения и по личному составу за указанный период утверждены и согласованы на заседании ЭПК управления;</w:t>
      </w:r>
    </w:p>
    <w:p w:rsidR="00AE342F" w:rsidRPr="00575169" w:rsidRDefault="00D45807">
      <w:pPr>
        <w:pStyle w:val="22"/>
        <w:shd w:val="clear" w:color="auto" w:fill="auto"/>
        <w:spacing w:before="0" w:line="24" w:lineRule="atLeast"/>
        <w:ind w:firstLine="709"/>
      </w:pPr>
      <w:r w:rsidRPr="00575169">
        <w:t>4) государственным автономным учреждением Новосибирской области «Региональный центр спортивной подготовки сборных команд и спортивного резерва» упорядочены документы постоянного хранения и по личному составу за 2014–2017 годы, описи дел постоянного хранения и по личному составу за указанный период утверждены и согласованы на заседании ЭПК управления;</w:t>
      </w:r>
    </w:p>
    <w:p w:rsidR="00AE342F" w:rsidRPr="00575169" w:rsidRDefault="00D45807">
      <w:pPr>
        <w:pStyle w:val="22"/>
        <w:shd w:val="clear" w:color="auto" w:fill="auto"/>
        <w:spacing w:before="0" w:line="24" w:lineRule="atLeast"/>
        <w:ind w:firstLine="709"/>
      </w:pPr>
      <w:r w:rsidRPr="00575169">
        <w:t>5) государственным бюджетным учреждением здравоохранения Новосибирской области «Новосибирское областное клиническое бюро судебно-медицинской экспертизы» упорядочены документы постоянного хранения и по личному составу за 2016–2017 годы, описи дел постоянного хранения и по личному составу за указанный период утверждены и согласованы на заседании ЭПК управления;</w:t>
      </w:r>
    </w:p>
    <w:p w:rsidR="00AE342F" w:rsidRPr="00575169" w:rsidRDefault="00D45807">
      <w:pPr>
        <w:pStyle w:val="22"/>
        <w:shd w:val="clear" w:color="auto" w:fill="auto"/>
        <w:spacing w:before="0" w:line="24" w:lineRule="atLeast"/>
        <w:ind w:firstLine="709"/>
      </w:pPr>
      <w:r w:rsidRPr="00575169">
        <w:t>6) государственным казенным учреждением Новосибирской области «Природоохранная инспекция» упорядочены документы постоянного хранения и по личному составу за 2001–2017 годы, описи дел постоянного хранения и по личному составу за указанный период утверждены и согласованы на заседании ЭПК управления;</w:t>
      </w:r>
    </w:p>
    <w:p w:rsidR="00AE342F" w:rsidRPr="00575169" w:rsidRDefault="00D45807">
      <w:pPr>
        <w:pStyle w:val="22"/>
        <w:shd w:val="clear" w:color="auto" w:fill="auto"/>
        <w:spacing w:before="0" w:line="24" w:lineRule="atLeast"/>
        <w:ind w:firstLine="709"/>
      </w:pPr>
      <w:r w:rsidRPr="00575169">
        <w:t>7) департаментом по тарифам Новосибирской области переданы в государственный архив документы, включенные в состав Архивного фонда Российской Федерации, за 2009–2010 годы;</w:t>
      </w:r>
    </w:p>
    <w:p w:rsidR="00AE342F" w:rsidRPr="00575169" w:rsidRDefault="00D45807">
      <w:pPr>
        <w:pStyle w:val="22"/>
        <w:shd w:val="clear" w:color="auto" w:fill="auto"/>
        <w:spacing w:before="0" w:line="24" w:lineRule="atLeast"/>
        <w:ind w:firstLine="709"/>
      </w:pPr>
      <w:r w:rsidRPr="00575169">
        <w:t>8) министерством транспорта и дорожного хозяйства Новосибирской области составлена номенклатуру дел по установленной форме, на основании Перечня архивных документов и согласована ЭПК управления в установленном порядке;</w:t>
      </w:r>
    </w:p>
    <w:p w:rsidR="00AE342F" w:rsidRPr="00575169" w:rsidRDefault="00D45807">
      <w:pPr>
        <w:pStyle w:val="22"/>
        <w:shd w:val="clear" w:color="auto" w:fill="auto"/>
        <w:spacing w:before="0" w:line="24" w:lineRule="atLeast"/>
        <w:ind w:firstLine="709"/>
      </w:pPr>
      <w:r w:rsidRPr="00575169">
        <w:t>9) Новосибирской областной организацией общественно-государственного объединения «Всероссийское физкультурно-спортивное общество «Динамо» переданы в государственный архив документы, включенные в состав Архивного фонда Российской Федерации, за 2009–2010 годы, упорядочены документы постоянного хранения и по личному составу за 2014–2017 годы, описи дел постоянного хранения и по личному составу за указанный период утверждены и согласованы на заседании ЭПК управления;</w:t>
      </w:r>
    </w:p>
    <w:p w:rsidR="00AE342F" w:rsidRPr="00575169" w:rsidRDefault="00D45807">
      <w:pPr>
        <w:pStyle w:val="22"/>
        <w:shd w:val="clear" w:color="auto" w:fill="auto"/>
        <w:spacing w:before="0" w:line="24" w:lineRule="atLeast"/>
        <w:ind w:firstLine="709"/>
      </w:pPr>
      <w:r w:rsidRPr="00575169">
        <w:t>10) региональным отделением общероссийской общественно-государственной организации «Добровольное общество содействия армии, авиации и флоту России» Новосибирской области упорядочены документы постоянного хранения и по личному составу за 2016–2017 годы, описи дел постоянного хранения и по личному составу за указанный период утверждены и согласованы на заседании ЭПК управления.</w:t>
      </w:r>
    </w:p>
    <w:p w:rsidR="00AE342F" w:rsidRPr="00575169" w:rsidRDefault="00D45807">
      <w:pPr>
        <w:pStyle w:val="22"/>
        <w:shd w:val="clear" w:color="auto" w:fill="auto"/>
        <w:spacing w:before="0" w:line="24" w:lineRule="atLeast"/>
        <w:ind w:firstLine="709"/>
      </w:pPr>
      <w:r w:rsidRPr="00575169">
        <w:t>6 контролируемых лиц не исполнили предостережения:</w:t>
      </w:r>
    </w:p>
    <w:p w:rsidR="00AE342F" w:rsidRPr="00575169" w:rsidRDefault="00D45807">
      <w:pPr>
        <w:pStyle w:val="22"/>
        <w:shd w:val="clear" w:color="auto" w:fill="auto"/>
        <w:spacing w:before="0" w:line="24" w:lineRule="atLeast"/>
        <w:ind w:firstLine="709"/>
      </w:pPr>
      <w:r w:rsidRPr="00575169">
        <w:lastRenderedPageBreak/>
        <w:t>1) акционерным обществом «Новосибирский металлургический завод им. Кузьмина» не переданы на постоянное хранение в государственный архив документы, включенные в состав Архивного фонда Российской Федерации, за 2004–2010 годы, сроки временного хранения которых истекли, не направлены на рассмотрение ЭПК управления описи дел постоянного хранения и по личному составу за 2017 год, не направлена на согласование в ГКУ НСО ГАНО номенклатура дел;</w:t>
      </w:r>
    </w:p>
    <w:p w:rsidR="00AE342F" w:rsidRPr="00575169" w:rsidRDefault="00D45807">
      <w:pPr>
        <w:pStyle w:val="22"/>
        <w:shd w:val="clear" w:color="auto" w:fill="auto"/>
        <w:spacing w:before="0" w:line="24" w:lineRule="atLeast"/>
        <w:ind w:firstLine="709"/>
      </w:pPr>
      <w:r w:rsidRPr="00575169">
        <w:t>2) министерством жилищно-коммунального хозяйства и энергетики Новосибирской области не создан архив для хранения архивных документов, образовавшихся в процессе их деятельности, не направлена на согласование ЭПК управления номенклатура дел;</w:t>
      </w:r>
    </w:p>
    <w:p w:rsidR="00AE342F" w:rsidRPr="00575169" w:rsidRDefault="00D45807">
      <w:pPr>
        <w:pStyle w:val="22"/>
        <w:shd w:val="clear" w:color="auto" w:fill="auto"/>
        <w:spacing w:before="0" w:line="24" w:lineRule="atLeast"/>
        <w:ind w:firstLine="709"/>
      </w:pPr>
      <w:r w:rsidRPr="00575169">
        <w:t>3) министерством природных ресурсов и экологии Новосибирской области не переданы на постоянное хранение в государственный архив документы, включенные в состав Архивного фонда Российской Федерации, за 2007–2010 годы – департамента природных ресурсов и охраны окружающей среды Новосибирской области, за 2008–2010 – департамента по охране животного мира Новосибирской области, за 2009–2010 – департамента лесного хозяйства Новосибирской области, сроки временного хранения которых истекли, не направлены на рассмотрение ЭПК управления описи дел постоянного хранения и по личному составу департамента лесного хозяйства Новосибирской области (министерства природных ресурсов и экологии Новосибирской области) за 2015–2017 годы;</w:t>
      </w:r>
    </w:p>
    <w:p w:rsidR="00AE342F" w:rsidRPr="00575169" w:rsidRDefault="00D45807">
      <w:pPr>
        <w:pStyle w:val="22"/>
        <w:shd w:val="clear" w:color="auto" w:fill="auto"/>
        <w:spacing w:before="0" w:line="24" w:lineRule="atLeast"/>
        <w:ind w:firstLine="709"/>
      </w:pPr>
      <w:r w:rsidRPr="00575169">
        <w:t>4) министерством сельского хозяйства Новосибирской области не создан архив для хранения архивных документов, образовавшихся в процессе их деятельности, не переданы на постоянное хранение в государственный архив документы, включенные в состав Архивного фонда Российской Федерации, за 2006–2010 годы, сроки временного хранения которых истекли;</w:t>
      </w:r>
    </w:p>
    <w:p w:rsidR="00AE342F" w:rsidRPr="00575169" w:rsidRDefault="00D45807">
      <w:pPr>
        <w:pStyle w:val="22"/>
        <w:shd w:val="clear" w:color="auto" w:fill="auto"/>
        <w:spacing w:before="0" w:line="24" w:lineRule="atLeast"/>
        <w:ind w:firstLine="709"/>
      </w:pPr>
      <w:r w:rsidRPr="00575169">
        <w:t>5) министерством физической культуры и спорта Новосибирской области не переданы на постоянное хранение в государственный архив документы, включенные в состав Архивного фонда Российской Федерации, за 2009–2010 годы, сроки временного хранения которых истекли;</w:t>
      </w:r>
    </w:p>
    <w:p w:rsidR="00AE342F" w:rsidRPr="00575169" w:rsidRDefault="00D45807">
      <w:pPr>
        <w:pStyle w:val="22"/>
        <w:shd w:val="clear" w:color="auto" w:fill="auto"/>
        <w:spacing w:before="0" w:line="24" w:lineRule="atLeast"/>
        <w:ind w:firstLine="709"/>
      </w:pPr>
      <w:r w:rsidRPr="00575169">
        <w:t>6) муниципальным бюджетным общеобразовательным учреждением города Новосибирска «Аэрокосмический лицей имени Ю.В. Кондратюка» не переданы на постоянное хранение в МКУ «Горархив» документы, включенные в состав Архивного фонда Российской Федерации, за 2014–2015 годы, сроки временного хранения которых истекли, не направлены на рассмотрение ЭПК управления описи дел постоянного хранения и по личному составу за 2016–2017 годы, не направлена на согласование в МКУ «Горархив» номенклатура дел.</w:t>
      </w:r>
    </w:p>
    <w:p w:rsidR="00AE342F" w:rsidRPr="00575169" w:rsidRDefault="00D45807">
      <w:pPr>
        <w:pStyle w:val="22"/>
        <w:shd w:val="clear" w:color="auto" w:fill="auto"/>
        <w:spacing w:before="0" w:line="24" w:lineRule="atLeast"/>
        <w:ind w:firstLine="709"/>
      </w:pPr>
      <w:r w:rsidRPr="00575169">
        <w:t>Самым сложным для исполнения является обязательное требование относительно создания архива для хранения, комплектования, учета и использования образовавшихся в процессе деятельности контролируемого лица архивных документов.</w:t>
      </w:r>
    </w:p>
    <w:p w:rsidR="00AE342F" w:rsidRPr="00575169" w:rsidRDefault="00D45807">
      <w:pPr>
        <w:pStyle w:val="22"/>
        <w:shd w:val="clear" w:color="auto" w:fill="auto"/>
        <w:spacing w:before="0" w:line="24" w:lineRule="atLeast"/>
        <w:ind w:firstLine="709"/>
      </w:pPr>
      <w:r w:rsidRPr="00575169">
        <w:t xml:space="preserve">Таким образом, из 25 предостережений исполнены полностью 9 – 36%, частично 10 – 40%, не исполнены полностью 6 – 24%. Исполнение предостережений, выданных контролируемым лицам, допустившим утраты </w:t>
      </w:r>
      <w:r w:rsidRPr="00575169">
        <w:lastRenderedPageBreak/>
        <w:t>архивных документов, практически невозможно, оно направлено в первую очередь на недопущение в дальнейшем утрат архивных документов.</w:t>
      </w:r>
    </w:p>
    <w:p w:rsidR="00AE342F" w:rsidRPr="00575169" w:rsidRDefault="00D45807">
      <w:pPr>
        <w:pStyle w:val="22"/>
        <w:shd w:val="clear" w:color="auto" w:fill="auto"/>
        <w:spacing w:before="0" w:line="24" w:lineRule="atLeast"/>
        <w:ind w:firstLine="709"/>
      </w:pPr>
      <w:r w:rsidRPr="00575169">
        <w:t xml:space="preserve">В соответствии с частью 4 статьи 49 Федерального </w:t>
      </w:r>
      <w:hyperlink r:id="rId28" w:history="1">
        <w:r w:rsidRPr="00575169">
          <w:t>закона</w:t>
        </w:r>
      </w:hyperlink>
      <w:r w:rsidRPr="00575169">
        <w:t xml:space="preserve"> от 31.07.2020 № 248- ФЗ «О государственном контроле (надзоре) и муниципальном контроле в Российской Федерации» только одно контролируемое лицо (Контрольно-счетная палата Новосибирской области) подало возражение в отношении выданного управлением предостережения. Управлением в соответствии с действующими требованиями Федерального </w:t>
      </w:r>
      <w:hyperlink r:id="rId29" w:history="1">
        <w:r w:rsidRPr="00575169">
          <w:t>закона</w:t>
        </w:r>
      </w:hyperlink>
      <w:r w:rsidRPr="00575169">
        <w:t xml:space="preserve"> от 31.07.2020 № 248- ФЗ «О государственном контроле (надзоре) и муниципальном контроле в Российской Федерации» и Положения о региональном государственном контроле (надзоре) за соблюдением законодательства об архивном деле, утвержденного постановлением Правительства Новосибирской области от 20.09.2021 № 365-п дан мотивированный ответ. В результате, как указано выше, Контрольно-счетной палатой Новосибирской области предостережение исполнено в полном объеме.</w:t>
      </w:r>
    </w:p>
    <w:p w:rsidR="00AE342F" w:rsidRPr="00575169" w:rsidRDefault="00D45807">
      <w:pPr>
        <w:pStyle w:val="a9"/>
        <w:spacing w:line="24" w:lineRule="atLeast"/>
        <w:ind w:left="0" w:firstLine="709"/>
        <w:jc w:val="both"/>
      </w:pPr>
      <w:r w:rsidRPr="00575169">
        <w:rPr>
          <w:b/>
        </w:rPr>
        <w:t>4. Консультирование контролируемых лиц</w:t>
      </w:r>
      <w:r w:rsidRPr="00575169">
        <w:t xml:space="preserve"> и их представителей осуществлялось по вопросам, связанным с организацией и осуществлением регионального государственного контроля (надзора) </w:t>
      </w:r>
      <w:r w:rsidRPr="00575169">
        <w:rPr>
          <w:rFonts w:eastAsiaTheme="minorHAnsi"/>
          <w:lang w:eastAsia="en-US"/>
        </w:rPr>
        <w:t>за соблюдением законодательства об архивном деле</w:t>
      </w:r>
      <w:r w:rsidRPr="00575169">
        <w:t xml:space="preserve">. Сотрудниками управления оказывалась методическая помощь лицам, ответственным за ведение делопроизводства и архив в организациях, иным сотрудникам контролируемых лиц в ходе проведения профилактических визитов, внеплановых проверок, а также по телефону. В течение года на личный прием к заместителю начальника управления – начальнику отдела организации и контроля деятельности государственных и муниципальных архивов контролируемые лица и их представители для консультирования не записывались. </w:t>
      </w:r>
      <w:r w:rsidRPr="00575169">
        <w:rPr>
          <w:color w:val="000000"/>
        </w:rPr>
        <w:t xml:space="preserve">Всего в 2022 году проведена 41 консультация (пункт 16 </w:t>
      </w:r>
      <w:r w:rsidRPr="00575169">
        <w:t>Плана-графика на 2022 год</w:t>
      </w:r>
      <w:r w:rsidRPr="00575169">
        <w:rPr>
          <w:color w:val="000000"/>
        </w:rPr>
        <w:t>).</w:t>
      </w:r>
    </w:p>
    <w:p w:rsidR="00AE342F" w:rsidRPr="00575169" w:rsidRDefault="00D45807">
      <w:pPr>
        <w:pStyle w:val="22"/>
        <w:shd w:val="clear" w:color="auto" w:fill="auto"/>
        <w:spacing w:before="0" w:line="24" w:lineRule="atLeast"/>
        <w:ind w:firstLine="709"/>
      </w:pPr>
      <w:r w:rsidRPr="00575169">
        <w:t>В соответствии с пунктом 17 Плана-графика на 2022 год, обобщенные ответы на поступившие от контролируемых лиц вопросы в рамках публичных мероприятий, подготовлены и размещены на официальном сайте управления в разделе «Деятельность/Контрольно-надзорная деятельность/Публичные обсуждения правоприменительной практики».</w:t>
      </w:r>
    </w:p>
    <w:p w:rsidR="00AE342F" w:rsidRPr="00575169" w:rsidRDefault="00D45807">
      <w:pPr>
        <w:pStyle w:val="a9"/>
        <w:spacing w:line="24" w:lineRule="atLeast"/>
        <w:ind w:left="0" w:firstLine="709"/>
        <w:jc w:val="both"/>
      </w:pPr>
      <w:r w:rsidRPr="00575169">
        <w:rPr>
          <w:b/>
        </w:rPr>
        <w:t xml:space="preserve">5. Проведение профилактических визитов </w:t>
      </w:r>
      <w:r w:rsidRPr="00575169">
        <w:t>осуществлялось управлением в соответствии со статьей</w:t>
      </w:r>
      <w:r w:rsidRPr="00575169">
        <w:rPr>
          <w:lang w:val="en-US"/>
        </w:rPr>
        <w:t> </w:t>
      </w:r>
      <w:r w:rsidRPr="00575169">
        <w:t>52 Федерального закона от</w:t>
      </w:r>
      <w:r w:rsidRPr="00575169">
        <w:rPr>
          <w:lang w:val="en-US"/>
        </w:rPr>
        <w:t> </w:t>
      </w:r>
      <w:r w:rsidRPr="00575169">
        <w:t>31.07.2020 №</w:t>
      </w:r>
      <w:r w:rsidRPr="00575169">
        <w:rPr>
          <w:lang w:val="en-US"/>
        </w:rPr>
        <w:t> </w:t>
      </w:r>
      <w:r w:rsidRPr="00575169">
        <w:t>248-ФЗ «О</w:t>
      </w:r>
      <w:r w:rsidRPr="00575169">
        <w:rPr>
          <w:lang w:val="en-US"/>
        </w:rPr>
        <w:t> </w:t>
      </w:r>
      <w:r w:rsidRPr="00575169">
        <w:t>государственном контроле (надзоре) и муниципальном контроле в Российской Федерации» в отношении контролируемых лиц, впервые приступивших к осуществлению деятельности в сфере архивного дела.</w:t>
      </w:r>
    </w:p>
    <w:p w:rsidR="00AE342F" w:rsidRPr="00575169" w:rsidRDefault="00D45807">
      <w:pPr>
        <w:pStyle w:val="a9"/>
        <w:spacing w:line="24" w:lineRule="atLeast"/>
        <w:ind w:left="0" w:firstLine="709"/>
        <w:jc w:val="both"/>
      </w:pPr>
      <w:r w:rsidRPr="00575169">
        <w:t>Согласно Программе профилактики рисков причинения вреда на 2022 год планировалось проведение 27 профилактических визитов. Преимущественное большинство – это организации – источники комплектования государственного архива, а также 2 источника отдела архивной службы администрации города Искитима Новосибирской области, 1 – отдела архивной службы администрации Кыштовского района Новосибирской области и 1 МКУ «Горархив», включенные в списки источников комплектования в 2021 году (пункт 18 Плана-графика на 2022 год).</w:t>
      </w:r>
    </w:p>
    <w:p w:rsidR="00AE342F" w:rsidRPr="00575169" w:rsidRDefault="00D45807">
      <w:pPr>
        <w:pStyle w:val="a9"/>
        <w:spacing w:line="24" w:lineRule="atLeast"/>
        <w:ind w:left="0" w:firstLine="709"/>
        <w:jc w:val="both"/>
      </w:pPr>
      <w:r w:rsidRPr="00575169">
        <w:lastRenderedPageBreak/>
        <w:t>В соответствии с частью 6 статьи 52 Федерального закона от</w:t>
      </w:r>
      <w:r w:rsidRPr="00575169">
        <w:rPr>
          <w:lang w:val="en-US"/>
        </w:rPr>
        <w:t> </w:t>
      </w:r>
      <w:r w:rsidRPr="00575169">
        <w:t>31.07.2020 №</w:t>
      </w:r>
      <w:r w:rsidRPr="00575169">
        <w:rPr>
          <w:lang w:val="en-US"/>
        </w:rPr>
        <w:t> </w:t>
      </w:r>
      <w:r w:rsidRPr="00575169">
        <w:t>248-ФЗ «О</w:t>
      </w:r>
      <w:r w:rsidRPr="00575169">
        <w:rPr>
          <w:lang w:val="en-US"/>
        </w:rPr>
        <w:t> </w:t>
      </w:r>
      <w:r w:rsidRPr="00575169">
        <w:t>государственном контроле (надзоре) и муниципальном контроле в Российской Федерации» 7 контролируемых воспользовались правом отказа от проведения обязательного профилактического визита заблаговременно уведомив об этом управление (не позднее чем за 3 рабочих дня до даты его проведения):</w:t>
      </w:r>
    </w:p>
    <w:p w:rsidR="00AE342F" w:rsidRPr="00575169" w:rsidRDefault="00D45807">
      <w:pPr>
        <w:pStyle w:val="22"/>
        <w:shd w:val="clear" w:color="auto" w:fill="auto"/>
        <w:spacing w:before="0" w:line="24" w:lineRule="atLeast"/>
        <w:ind w:firstLine="709"/>
      </w:pPr>
      <w:r w:rsidRPr="00575169">
        <w:t>1) государственное автономное учреждение Новосибирской области «Центр подготовки по спортивной гимнастике Евгения Подгорного»;</w:t>
      </w:r>
    </w:p>
    <w:p w:rsidR="00AE342F" w:rsidRPr="00575169" w:rsidRDefault="00D45807">
      <w:pPr>
        <w:pStyle w:val="22"/>
        <w:shd w:val="clear" w:color="auto" w:fill="auto"/>
        <w:spacing w:before="0" w:line="24" w:lineRule="atLeast"/>
        <w:ind w:firstLine="709"/>
      </w:pPr>
      <w:r w:rsidRPr="00575169">
        <w:t>2) автономная некоммерческая организация «Исполнительная дирекция молодежного Чемпионата мира по хоккею 2023 года в городе Новосибирске»;</w:t>
      </w:r>
    </w:p>
    <w:p w:rsidR="00AE342F" w:rsidRPr="00575169" w:rsidRDefault="00D45807">
      <w:pPr>
        <w:pStyle w:val="22"/>
        <w:shd w:val="clear" w:color="auto" w:fill="auto"/>
        <w:spacing w:before="0" w:line="24" w:lineRule="atLeast"/>
        <w:ind w:firstLine="709"/>
      </w:pPr>
      <w:r w:rsidRPr="00575169">
        <w:t>3) государственное казенное учреждение Новосибирской области «Центр бухгалтерского учета»;</w:t>
      </w:r>
    </w:p>
    <w:p w:rsidR="00AE342F" w:rsidRPr="00575169" w:rsidRDefault="00D45807">
      <w:pPr>
        <w:pStyle w:val="22"/>
        <w:shd w:val="clear" w:color="auto" w:fill="auto"/>
        <w:spacing w:before="0" w:line="24" w:lineRule="atLeast"/>
        <w:ind w:firstLine="709"/>
      </w:pPr>
      <w:r w:rsidRPr="00575169">
        <w:t>4) муниципальное казенное учреждение «Управление образования и молодежной политики» города Искитима Новосибирской области;</w:t>
      </w:r>
    </w:p>
    <w:p w:rsidR="00AE342F" w:rsidRPr="00575169" w:rsidRDefault="00D45807">
      <w:pPr>
        <w:pStyle w:val="22"/>
        <w:shd w:val="clear" w:color="auto" w:fill="auto"/>
        <w:spacing w:before="0" w:line="24" w:lineRule="atLeast"/>
        <w:ind w:firstLine="709"/>
      </w:pPr>
      <w:r w:rsidRPr="00575169">
        <w:t>5) государственное бюджетное учреждение культуры Новосибирской области «Областной центр русского фольклора и этнографии»;</w:t>
      </w:r>
    </w:p>
    <w:p w:rsidR="00AE342F" w:rsidRPr="00575169" w:rsidRDefault="00D45807">
      <w:pPr>
        <w:pStyle w:val="22"/>
        <w:shd w:val="clear" w:color="auto" w:fill="auto"/>
        <w:spacing w:before="0" w:line="24" w:lineRule="atLeast"/>
        <w:ind w:firstLine="709"/>
      </w:pPr>
      <w:r w:rsidRPr="00575169">
        <w:t>6) государственное автономное профессиональное образовательное учреждение Новосибирской области «Новосибирский колледж печати и информационных технологий»;</w:t>
      </w:r>
    </w:p>
    <w:p w:rsidR="00AE342F" w:rsidRPr="00575169" w:rsidRDefault="00D45807">
      <w:pPr>
        <w:pStyle w:val="22"/>
        <w:shd w:val="clear" w:color="auto" w:fill="auto"/>
        <w:spacing w:before="0" w:line="24" w:lineRule="atLeast"/>
        <w:ind w:firstLine="709"/>
      </w:pPr>
      <w:r w:rsidRPr="00575169">
        <w:t>7) государственное казенное учреждение Новосибирской области «Региональный информационный центр».</w:t>
      </w:r>
    </w:p>
    <w:p w:rsidR="00AE342F" w:rsidRPr="00575169" w:rsidRDefault="00D45807">
      <w:pPr>
        <w:pStyle w:val="a9"/>
        <w:spacing w:line="24" w:lineRule="atLeast"/>
        <w:ind w:left="0" w:firstLine="709"/>
        <w:jc w:val="both"/>
      </w:pPr>
      <w:r w:rsidRPr="00575169">
        <w:rPr>
          <w:rFonts w:eastAsiaTheme="minorHAnsi"/>
          <w:lang w:eastAsia="en-US"/>
        </w:rPr>
        <w:t xml:space="preserve">В 20 контролируемых лицах – </w:t>
      </w:r>
      <w:r w:rsidRPr="00575169">
        <w:t>новых источниках комплектования,</w:t>
      </w:r>
      <w:r w:rsidRPr="00575169">
        <w:rPr>
          <w:rFonts w:eastAsiaTheme="minorHAnsi"/>
          <w:lang w:eastAsia="en-US"/>
        </w:rPr>
        <w:t xml:space="preserve"> пополнивших список в 2021 году, сотрудниками управления проведены профилактические визиты </w:t>
      </w:r>
      <w:r w:rsidRPr="00575169">
        <w:t>путем использования видео-конференц-связи:</w:t>
      </w:r>
    </w:p>
    <w:p w:rsidR="00AE342F" w:rsidRPr="00575169" w:rsidRDefault="00D45807">
      <w:pPr>
        <w:pStyle w:val="22"/>
        <w:shd w:val="clear" w:color="auto" w:fill="auto"/>
        <w:spacing w:before="0" w:line="24" w:lineRule="atLeast"/>
        <w:ind w:firstLine="709"/>
      </w:pPr>
      <w:r w:rsidRPr="00575169">
        <w:t>1) государственное казенное учреждение Новосибирской области «Новосибирский институт мониторинга и развития образования»;</w:t>
      </w:r>
    </w:p>
    <w:p w:rsidR="00AE342F" w:rsidRPr="00575169" w:rsidRDefault="00D45807">
      <w:pPr>
        <w:pStyle w:val="22"/>
        <w:shd w:val="clear" w:color="auto" w:fill="auto"/>
        <w:spacing w:before="0" w:line="24" w:lineRule="atLeast"/>
        <w:ind w:firstLine="709"/>
      </w:pPr>
      <w:r w:rsidRPr="00575169">
        <w:t>2) государственное автономное учреждение социального обслуживания Новосибирской области «Областной комплексный центр социальной реабилитации «Надежда»;</w:t>
      </w:r>
    </w:p>
    <w:p w:rsidR="00AE342F" w:rsidRPr="00575169" w:rsidRDefault="00D45807">
      <w:pPr>
        <w:pStyle w:val="22"/>
        <w:shd w:val="clear" w:color="auto" w:fill="auto"/>
        <w:spacing w:before="0" w:line="24" w:lineRule="atLeast"/>
        <w:ind w:firstLine="709"/>
      </w:pPr>
      <w:r w:rsidRPr="00575169">
        <w:t>3) государственное бюджетное общеобразовательное учреждение Новосибирской области «Кадетская школа-интернат «Сибирский кадетский корпус»;</w:t>
      </w:r>
    </w:p>
    <w:p w:rsidR="00AE342F" w:rsidRPr="00575169" w:rsidRDefault="00D45807">
      <w:pPr>
        <w:pStyle w:val="22"/>
        <w:shd w:val="clear" w:color="auto" w:fill="auto"/>
        <w:spacing w:before="0" w:line="24" w:lineRule="atLeast"/>
        <w:ind w:firstLine="709"/>
      </w:pPr>
      <w:r w:rsidRPr="00575169">
        <w:t>4) государственное автономное учреждение Новосибирской области «Комплексный центр социальной адаптации инвалидов»;</w:t>
      </w:r>
    </w:p>
    <w:p w:rsidR="00AE342F" w:rsidRPr="00575169" w:rsidRDefault="00D45807">
      <w:pPr>
        <w:pStyle w:val="22"/>
        <w:shd w:val="clear" w:color="auto" w:fill="auto"/>
        <w:spacing w:before="0" w:line="24" w:lineRule="atLeast"/>
        <w:ind w:firstLine="709"/>
      </w:pPr>
      <w:r w:rsidRPr="00575169">
        <w:t>5) государственное казенное учреждение здравоохранения Новосибирской области «Региональный центр общественного здоровья и медицинской профилактики»;</w:t>
      </w:r>
    </w:p>
    <w:p w:rsidR="00AE342F" w:rsidRPr="00575169" w:rsidRDefault="00D45807">
      <w:pPr>
        <w:pStyle w:val="22"/>
        <w:shd w:val="clear" w:color="auto" w:fill="auto"/>
        <w:spacing w:before="0" w:line="24" w:lineRule="atLeast"/>
        <w:ind w:firstLine="709"/>
      </w:pPr>
      <w:r w:rsidRPr="00575169">
        <w:t>6)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w:t>
      </w:r>
    </w:p>
    <w:p w:rsidR="00AE342F" w:rsidRPr="00575169" w:rsidRDefault="00D45807">
      <w:pPr>
        <w:pStyle w:val="22"/>
        <w:shd w:val="clear" w:color="auto" w:fill="auto"/>
        <w:spacing w:before="0" w:line="24" w:lineRule="atLeast"/>
        <w:ind w:firstLine="709"/>
      </w:pPr>
      <w:r w:rsidRPr="00575169">
        <w:t>7) государственное казенное учреждение Новосибирской области «Центр организации дорожного движения»;</w:t>
      </w:r>
    </w:p>
    <w:p w:rsidR="00AE342F" w:rsidRPr="00575169" w:rsidRDefault="00D45807">
      <w:pPr>
        <w:pStyle w:val="22"/>
        <w:shd w:val="clear" w:color="auto" w:fill="auto"/>
        <w:spacing w:before="0" w:line="24" w:lineRule="atLeast"/>
        <w:ind w:firstLine="709"/>
      </w:pPr>
      <w:r w:rsidRPr="00575169">
        <w:t>8) государственное бюджетное учреждение здравоохранения Новосибирской области «Новосибирский областной клинический кардиологический диспансер»;</w:t>
      </w:r>
    </w:p>
    <w:p w:rsidR="00AE342F" w:rsidRPr="00575169" w:rsidRDefault="00D45807">
      <w:pPr>
        <w:pStyle w:val="22"/>
        <w:shd w:val="clear" w:color="auto" w:fill="auto"/>
        <w:spacing w:before="0" w:line="24" w:lineRule="atLeast"/>
        <w:ind w:firstLine="709"/>
      </w:pPr>
      <w:r w:rsidRPr="00575169">
        <w:lastRenderedPageBreak/>
        <w:t>9) государственное бюджетное учреждение культуры Новосибирской области «Новосибирский областной татарский культурный центр»;</w:t>
      </w:r>
    </w:p>
    <w:p w:rsidR="00AE342F" w:rsidRPr="00575169" w:rsidRDefault="00D45807">
      <w:pPr>
        <w:pStyle w:val="22"/>
        <w:shd w:val="clear" w:color="auto" w:fill="auto"/>
        <w:spacing w:before="0" w:line="24" w:lineRule="atLeast"/>
        <w:ind w:firstLine="709"/>
      </w:pPr>
      <w:r w:rsidRPr="00575169">
        <w:t>10) государственное бюджетное учреждение Новосибирской области «Центр цифровой трансформации Новосибирской области»;</w:t>
      </w:r>
    </w:p>
    <w:p w:rsidR="00AE342F" w:rsidRPr="00575169" w:rsidRDefault="00D45807">
      <w:pPr>
        <w:pStyle w:val="22"/>
        <w:shd w:val="clear" w:color="auto" w:fill="auto"/>
        <w:spacing w:before="0" w:line="24" w:lineRule="atLeast"/>
        <w:ind w:firstLine="709"/>
      </w:pPr>
      <w:r w:rsidRPr="00575169">
        <w:t>11) муниципальное бюджетное учреждение культуры города Новосибирска «Дом культуры «Приморский»;</w:t>
      </w:r>
    </w:p>
    <w:p w:rsidR="00AE342F" w:rsidRPr="00575169" w:rsidRDefault="00D45807">
      <w:pPr>
        <w:pStyle w:val="22"/>
        <w:shd w:val="clear" w:color="auto" w:fill="auto"/>
        <w:spacing w:before="0" w:line="24" w:lineRule="atLeast"/>
        <w:ind w:firstLine="709"/>
      </w:pPr>
      <w:r w:rsidRPr="00575169">
        <w:t>12) муниципальное казенное учреждение «Комплексный центр социального обслуживания населения Кыштовского района Новосибирской области»;</w:t>
      </w:r>
    </w:p>
    <w:p w:rsidR="00AE342F" w:rsidRPr="00575169" w:rsidRDefault="00D45807">
      <w:pPr>
        <w:pStyle w:val="22"/>
        <w:shd w:val="clear" w:color="auto" w:fill="auto"/>
        <w:spacing w:before="0" w:line="24" w:lineRule="atLeast"/>
        <w:ind w:firstLine="709"/>
      </w:pPr>
      <w:r w:rsidRPr="00575169">
        <w:t>13) государственное автономное учреждение культуры Новосибирской области «Дирекция фестивальных, конкурсных и культурно-массовых программ»;</w:t>
      </w:r>
    </w:p>
    <w:p w:rsidR="00AE342F" w:rsidRPr="00575169" w:rsidRDefault="00D45807">
      <w:pPr>
        <w:pStyle w:val="22"/>
        <w:shd w:val="clear" w:color="auto" w:fill="auto"/>
        <w:spacing w:before="0" w:line="24" w:lineRule="atLeast"/>
        <w:ind w:firstLine="709"/>
      </w:pPr>
      <w:r w:rsidRPr="00575169">
        <w:t>14) государственное бюджетное учреждение Новосибирской области «Центр информационных технологий Новосибирской области»;</w:t>
      </w:r>
    </w:p>
    <w:p w:rsidR="00AE342F" w:rsidRPr="00575169" w:rsidRDefault="00D45807">
      <w:pPr>
        <w:pStyle w:val="22"/>
        <w:shd w:val="clear" w:color="auto" w:fill="auto"/>
        <w:spacing w:before="0" w:line="24" w:lineRule="atLeast"/>
        <w:ind w:firstLine="709"/>
      </w:pPr>
      <w:r w:rsidRPr="00575169">
        <w:t>15) государственное бюджетное учреждение культуры Новосибирской области «Новосибирская областная молодежная библиотека»;</w:t>
      </w:r>
    </w:p>
    <w:p w:rsidR="00AE342F" w:rsidRPr="00575169" w:rsidRDefault="00D45807">
      <w:pPr>
        <w:pStyle w:val="22"/>
        <w:shd w:val="clear" w:color="auto" w:fill="auto"/>
        <w:spacing w:before="0" w:line="24" w:lineRule="atLeast"/>
        <w:ind w:firstLine="709"/>
      </w:pPr>
      <w:r w:rsidRPr="00575169">
        <w:t>16) муниципальное бюджетное учреждение «Служба гражданской защиты населения города Искитима Новосибирской области»;</w:t>
      </w:r>
    </w:p>
    <w:p w:rsidR="00AE342F" w:rsidRPr="00575169" w:rsidRDefault="00D45807">
      <w:pPr>
        <w:pStyle w:val="22"/>
        <w:shd w:val="clear" w:color="auto" w:fill="auto"/>
        <w:spacing w:before="0" w:line="24" w:lineRule="atLeast"/>
        <w:ind w:firstLine="709"/>
      </w:pPr>
      <w:r w:rsidRPr="00575169">
        <w:t>17) государственное бюджетное учреждение дополнительного образования Новосибирской области «Областной центр детского (юношеского) технического творчества «Автомотоцентр»;</w:t>
      </w:r>
    </w:p>
    <w:p w:rsidR="00AE342F" w:rsidRPr="00575169" w:rsidRDefault="00D45807">
      <w:pPr>
        <w:pStyle w:val="22"/>
        <w:shd w:val="clear" w:color="auto" w:fill="auto"/>
        <w:spacing w:before="0" w:line="24" w:lineRule="atLeast"/>
        <w:ind w:firstLine="709"/>
      </w:pPr>
      <w:r w:rsidRPr="00575169">
        <w:t>18) государственное бюджетное учреждение Новосибирской области «Центр защиты информации Новосибирской области»;</w:t>
      </w:r>
    </w:p>
    <w:p w:rsidR="00AE342F" w:rsidRPr="00575169" w:rsidRDefault="00D45807">
      <w:pPr>
        <w:pStyle w:val="22"/>
        <w:shd w:val="clear" w:color="auto" w:fill="auto"/>
        <w:spacing w:before="0" w:line="24" w:lineRule="atLeast"/>
        <w:ind w:firstLine="709"/>
      </w:pPr>
      <w:r w:rsidRPr="00575169">
        <w:t>19) государственное казенное учреждение Новосибирской области «Хозяйственное управление»;</w:t>
      </w:r>
    </w:p>
    <w:p w:rsidR="00AE342F" w:rsidRPr="00575169" w:rsidRDefault="00D45807">
      <w:pPr>
        <w:pStyle w:val="22"/>
        <w:shd w:val="clear" w:color="auto" w:fill="auto"/>
        <w:spacing w:before="0" w:line="24" w:lineRule="atLeast"/>
        <w:ind w:firstLine="709"/>
      </w:pPr>
      <w:r w:rsidRPr="00575169">
        <w:t>20) государственное автономное учреждение Новосибирской области «Спортивная школа олимпийского резерва водных видов спорта».</w:t>
      </w:r>
    </w:p>
    <w:p w:rsidR="00AE342F" w:rsidRPr="00575169" w:rsidRDefault="00D45807">
      <w:pPr>
        <w:pStyle w:val="a9"/>
        <w:spacing w:line="24" w:lineRule="atLeast"/>
        <w:ind w:left="0" w:firstLine="709"/>
        <w:jc w:val="both"/>
      </w:pPr>
      <w:r w:rsidRPr="00575169">
        <w:t>В ходе профилактического визита контролируемое лицо информировалось об обязательных требованиях, предъявляемых к его деятельности либо к принадлежащим ему (используемым 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Разъяснения, полученные контролируемым лицом в ходе профилактического визита, носят рекомендательный характер, им не могут выдаваться предписания</w:t>
      </w:r>
      <w:r w:rsidRPr="00575169">
        <w:rPr>
          <w:rFonts w:eastAsia="Calibri"/>
          <w:color w:val="000000" w:themeColor="text1"/>
        </w:rPr>
        <w:t xml:space="preserve"> об устранении нарушений обязательных требований</w:t>
      </w:r>
      <w:r w:rsidRPr="00575169">
        <w:t>.</w:t>
      </w:r>
    </w:p>
    <w:p w:rsidR="00AE342F" w:rsidRPr="00575169" w:rsidRDefault="00D45807">
      <w:pPr>
        <w:pStyle w:val="a9"/>
        <w:spacing w:line="24" w:lineRule="atLeast"/>
        <w:ind w:left="0" w:firstLine="709"/>
        <w:jc w:val="both"/>
      </w:pPr>
      <w:r w:rsidRPr="00575169">
        <w:t>В ходе профилактических визитов управлением не установлены факты, что деятельность контролируемых лиц и принадлежащих им (используемых ими) иных объектов контроля представляют явную непосредственную угрозу причинения вреда (ущерба) охраняемым законом ценностям или такой вред (ущерб) причинен. По итогам проведения сотрудниками управления составлены отчеты о проведенных профилактических визитах.</w:t>
      </w:r>
    </w:p>
    <w:p w:rsidR="00AE342F" w:rsidRPr="00575169" w:rsidRDefault="00D45807">
      <w:pPr>
        <w:spacing w:afterAutospacing="1" w:line="24" w:lineRule="atLeast"/>
        <w:ind w:firstLine="709"/>
        <w:contextualSpacing/>
        <w:jc w:val="both"/>
        <w:rPr>
          <w:rFonts w:ascii="Times New Roman" w:hAnsi="Times New Roman" w:cs="Times New Roman"/>
          <w:sz w:val="28"/>
          <w:szCs w:val="28"/>
        </w:rPr>
      </w:pPr>
      <w:r w:rsidRPr="00575169">
        <w:rPr>
          <w:rFonts w:ascii="Times New Roman" w:hAnsi="Times New Roman" w:cs="Times New Roman"/>
          <w:sz w:val="28"/>
          <w:szCs w:val="28"/>
        </w:rPr>
        <w:t xml:space="preserve">Общее количество проведенных управлением профилактических мероприятий (обучающих семинаров, обсуждений правоприменительной </w:t>
      </w:r>
      <w:r w:rsidRPr="00575169">
        <w:rPr>
          <w:rFonts w:ascii="Times New Roman" w:hAnsi="Times New Roman" w:cs="Times New Roman"/>
          <w:sz w:val="28"/>
          <w:szCs w:val="28"/>
        </w:rPr>
        <w:lastRenderedPageBreak/>
        <w:t>практики, выданных предостережений, профилактических визитов, консультаций, размещенных материалов и т.д.) в течение 2022 года составило 1</w:t>
      </w:r>
      <w:r w:rsidR="00BA5E37" w:rsidRPr="00575169">
        <w:rPr>
          <w:rFonts w:ascii="Times New Roman" w:hAnsi="Times New Roman" w:cs="Times New Roman"/>
          <w:sz w:val="28"/>
          <w:szCs w:val="28"/>
        </w:rPr>
        <w:t>43</w:t>
      </w:r>
      <w:r w:rsidRPr="00575169">
        <w:rPr>
          <w:rFonts w:ascii="Times New Roman" w:hAnsi="Times New Roman" w:cs="Times New Roman"/>
          <w:sz w:val="28"/>
          <w:szCs w:val="28"/>
        </w:rPr>
        <w:t>. Количество контролируемых лиц, в отношении которых проведены профилактические мероприятия – 257.</w:t>
      </w:r>
    </w:p>
    <w:p w:rsidR="00AE342F" w:rsidRPr="00575169" w:rsidRDefault="00D45807">
      <w:pPr>
        <w:spacing w:afterAutospacing="1" w:line="24" w:lineRule="atLeast"/>
        <w:ind w:firstLine="709"/>
        <w:contextualSpacing/>
        <w:jc w:val="both"/>
        <w:rPr>
          <w:rFonts w:ascii="Times New Roman" w:hAnsi="Times New Roman" w:cs="Times New Roman"/>
          <w:sz w:val="28"/>
          <w:szCs w:val="28"/>
        </w:rPr>
      </w:pPr>
      <w:r w:rsidRPr="00575169">
        <w:rPr>
          <w:rFonts w:ascii="Times New Roman" w:hAnsi="Times New Roman" w:cs="Times New Roman"/>
          <w:sz w:val="28"/>
          <w:szCs w:val="28"/>
        </w:rPr>
        <w:t>В течение года управлением проведен анализ выполнения мероприятий Программы профилактики рисков причинения вреда на 2022 год и подготовка материалов для доклада (отчета) об итогах профилактической работы, проведенной управлением в 2022 году (пункт 8 Плана-графика на 2022 год).</w:t>
      </w:r>
    </w:p>
    <w:p w:rsidR="00AE342F" w:rsidRPr="00575169" w:rsidRDefault="00D45807">
      <w:pPr>
        <w:spacing w:afterAutospacing="1" w:line="24" w:lineRule="atLeast"/>
        <w:ind w:firstLine="709"/>
        <w:contextualSpacing/>
        <w:jc w:val="both"/>
        <w:rPr>
          <w:rFonts w:ascii="Times New Roman" w:hAnsi="Times New Roman" w:cs="Times New Roman"/>
          <w:sz w:val="28"/>
          <w:szCs w:val="28"/>
        </w:rPr>
      </w:pPr>
      <w:r w:rsidRPr="00575169">
        <w:rPr>
          <w:rFonts w:ascii="Times New Roman" w:hAnsi="Times New Roman" w:cs="Times New Roman"/>
          <w:sz w:val="28"/>
          <w:szCs w:val="28"/>
        </w:rPr>
        <w:t>Оценка эффективности и результативности профилактических мероприятий, включенных в Программу профилактики рисков причинения вреда на 2022 год и План-график на 2022 год, осуществлялась управлением ежеквартально посредством анализа выполнения плана профилактических мероприятий, направленных на предупреждение нарушений контролируемыми лицами обязательных требований в сфере архивного дела, и отчётных показателей выполнения мероприятий Программы. И</w:t>
      </w:r>
      <w:hyperlink r:id="rId30" w:history="1">
        <w:r w:rsidRPr="00575169">
          <w:rPr>
            <w:rFonts w:ascii="Times New Roman" w:hAnsi="Times New Roman" w:cs="Times New Roman"/>
            <w:sz w:val="28"/>
            <w:szCs w:val="28"/>
          </w:rPr>
          <w:t>нформации о результатах выполнения мероприятий Программы профилактики рисков причинения вреда в 2022 году</w:t>
        </w:r>
      </w:hyperlink>
      <w:r w:rsidRPr="00575169">
        <w:rPr>
          <w:rFonts w:ascii="Times New Roman" w:hAnsi="Times New Roman" w:cs="Times New Roman"/>
          <w:sz w:val="28"/>
          <w:szCs w:val="28"/>
        </w:rPr>
        <w:t xml:space="preserve"> и Плана-графика на 2022 год ежеквартально размещались на официальном сайте управления в разделе «Деятельность/Контрольно-надзорная деятельность/</w:t>
      </w:r>
      <w:hyperlink r:id="rId31" w:history="1">
        <w:r w:rsidRPr="00575169">
          <w:rPr>
            <w:rFonts w:ascii="Times New Roman" w:hAnsi="Times New Roman" w:cs="Times New Roman"/>
            <w:sz w:val="28"/>
            <w:szCs w:val="28"/>
          </w:rPr>
          <w:t>Профилактика рисков причинения вреда</w:t>
        </w:r>
      </w:hyperlink>
      <w:r w:rsidRPr="00575169">
        <w:rPr>
          <w:rFonts w:ascii="Times New Roman" w:hAnsi="Times New Roman" w:cs="Times New Roman"/>
          <w:sz w:val="28"/>
          <w:szCs w:val="28"/>
        </w:rPr>
        <w:t>/Программа профилактики нарушений обязательных требований».</w:t>
      </w:r>
    </w:p>
    <w:p w:rsidR="00AE342F" w:rsidRPr="00575169" w:rsidRDefault="00D45807">
      <w:pPr>
        <w:spacing w:afterAutospacing="1" w:line="24" w:lineRule="atLeast"/>
        <w:ind w:firstLine="709"/>
        <w:contextualSpacing/>
        <w:jc w:val="both"/>
        <w:rPr>
          <w:rFonts w:ascii="Times New Roman" w:hAnsi="Times New Roman" w:cs="Times New Roman"/>
          <w:sz w:val="28"/>
          <w:szCs w:val="28"/>
        </w:rPr>
      </w:pPr>
      <w:r w:rsidRPr="00575169">
        <w:rPr>
          <w:rFonts w:ascii="Times New Roman" w:hAnsi="Times New Roman" w:cs="Times New Roman"/>
          <w:sz w:val="28"/>
          <w:szCs w:val="28"/>
        </w:rPr>
        <w:t>В целях оценки эффективности и результативности выполнения мероприятий Программы профилактики рисков причинения вреда на 2022 год приказом управления от 10.12.2021 № 156- од установлены следующие отчетные показатели:</w:t>
      </w:r>
    </w:p>
    <w:tbl>
      <w:tblPr>
        <w:tblStyle w:val="1"/>
        <w:tblW w:w="9634" w:type="dxa"/>
        <w:tblLayout w:type="fixed"/>
        <w:tblLook w:val="04A0" w:firstRow="1" w:lastRow="0" w:firstColumn="1" w:lastColumn="0" w:noHBand="0" w:noVBand="1"/>
      </w:tblPr>
      <w:tblGrid>
        <w:gridCol w:w="567"/>
        <w:gridCol w:w="5098"/>
        <w:gridCol w:w="1134"/>
        <w:gridCol w:w="1418"/>
        <w:gridCol w:w="1417"/>
      </w:tblGrid>
      <w:tr w:rsidR="00AE342F" w:rsidRPr="00575169">
        <w:tc>
          <w:tcPr>
            <w:tcW w:w="56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 п/п</w:t>
            </w:r>
          </w:p>
        </w:tc>
        <w:tc>
          <w:tcPr>
            <w:tcW w:w="509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Наименование показателя</w:t>
            </w: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Единица измере-ния</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Значение показателя</w:t>
            </w:r>
          </w:p>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hAnsi="Times New Roman" w:cs="Times New Roman"/>
                <w:sz w:val="24"/>
                <w:szCs w:val="24"/>
              </w:rPr>
              <w:t>на 2022 год</w:t>
            </w:r>
          </w:p>
        </w:tc>
        <w:tc>
          <w:tcPr>
            <w:tcW w:w="141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hAnsi="Times New Roman" w:cs="Times New Roman"/>
                <w:sz w:val="24"/>
                <w:szCs w:val="24"/>
              </w:rPr>
              <w:t>Значение показателя за 2022 год</w:t>
            </w:r>
          </w:p>
        </w:tc>
      </w:tr>
      <w:tr w:rsidR="00AE342F" w:rsidRPr="00575169">
        <w:tc>
          <w:tcPr>
            <w:tcW w:w="56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w:t>
            </w:r>
          </w:p>
        </w:tc>
        <w:tc>
          <w:tcPr>
            <w:tcW w:w="509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2</w:t>
            </w: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3</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4</w:t>
            </w:r>
          </w:p>
        </w:tc>
        <w:tc>
          <w:tcPr>
            <w:tcW w:w="1417" w:type="dxa"/>
          </w:tcPr>
          <w:p w:rsidR="00AE342F" w:rsidRPr="007D1DF0" w:rsidRDefault="00AE342F">
            <w:pPr>
              <w:spacing w:line="24" w:lineRule="atLeast"/>
              <w:jc w:val="center"/>
              <w:rPr>
                <w:rFonts w:ascii="Times New Roman" w:eastAsia="Times New Roman" w:hAnsi="Times New Roman" w:cs="Times New Roman"/>
                <w:color w:val="auto"/>
                <w:sz w:val="24"/>
                <w:szCs w:val="24"/>
              </w:rPr>
            </w:pPr>
          </w:p>
        </w:tc>
      </w:tr>
      <w:tr w:rsidR="00AE342F" w:rsidRPr="00575169">
        <w:tc>
          <w:tcPr>
            <w:tcW w:w="567" w:type="dxa"/>
          </w:tcPr>
          <w:p w:rsidR="00AE342F" w:rsidRPr="007D1DF0" w:rsidRDefault="00D45807">
            <w:pPr>
              <w:spacing w:line="24" w:lineRule="atLeast"/>
              <w:jc w:val="both"/>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1.</w:t>
            </w:r>
          </w:p>
        </w:tc>
        <w:tc>
          <w:tcPr>
            <w:tcW w:w="5098" w:type="dxa"/>
          </w:tcPr>
          <w:p w:rsidR="00AE342F" w:rsidRDefault="00D45807">
            <w:pPr>
              <w:jc w:val="both"/>
              <w:rPr>
                <w:rFonts w:ascii="Times New Roman" w:eastAsia="Calibri" w:hAnsi="Times New Roman" w:cs="Times New Roman"/>
                <w:sz w:val="24"/>
                <w:szCs w:val="24"/>
              </w:rPr>
            </w:pPr>
            <w:r w:rsidRPr="007D1DF0">
              <w:rPr>
                <w:rFonts w:ascii="Times New Roman" w:eastAsia="Calibri" w:hAnsi="Times New Roman" w:cs="Times New Roman"/>
                <w:sz w:val="24"/>
                <w:szCs w:val="24"/>
              </w:rPr>
              <w:t>Наличие актуальных редакций на официальном сайте управления перечня нормативных правовых актов (их отдельных положений), содержащих обязательные требования, оценка соблюдения которых осуществляется в рамках регионального государственного контроля (надзора) за соблюдением законодательства об архивном деле, а также текстов соответствующих нормативных правовых актов</w:t>
            </w:r>
          </w:p>
          <w:p w:rsidR="00941B35" w:rsidRPr="007D1DF0" w:rsidRDefault="00941B35">
            <w:pPr>
              <w:jc w:val="both"/>
              <w:rPr>
                <w:rFonts w:ascii="Times New Roman" w:eastAsia="Calibri" w:hAnsi="Times New Roman" w:cs="Times New Roman"/>
                <w:sz w:val="24"/>
                <w:szCs w:val="24"/>
              </w:rPr>
            </w:pPr>
          </w:p>
        </w:tc>
        <w:tc>
          <w:tcPr>
            <w:tcW w:w="1134" w:type="dxa"/>
          </w:tcPr>
          <w:p w:rsidR="00AE342F" w:rsidRPr="007D1DF0" w:rsidRDefault="00D45807">
            <w:pPr>
              <w:spacing w:line="24" w:lineRule="atLeast"/>
              <w:jc w:val="center"/>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процент</w:t>
            </w:r>
          </w:p>
        </w:tc>
        <w:tc>
          <w:tcPr>
            <w:tcW w:w="1418" w:type="dxa"/>
          </w:tcPr>
          <w:p w:rsidR="00AE342F" w:rsidRPr="007D1DF0" w:rsidRDefault="00D45807">
            <w:pPr>
              <w:spacing w:line="24" w:lineRule="atLeast"/>
              <w:jc w:val="center"/>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100</w:t>
            </w:r>
          </w:p>
        </w:tc>
        <w:tc>
          <w:tcPr>
            <w:tcW w:w="1417" w:type="dxa"/>
          </w:tcPr>
          <w:p w:rsidR="00AE342F" w:rsidRPr="007D1DF0" w:rsidRDefault="00D45807">
            <w:pPr>
              <w:spacing w:line="24" w:lineRule="atLeast"/>
              <w:jc w:val="center"/>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100</w:t>
            </w:r>
          </w:p>
        </w:tc>
      </w:tr>
      <w:tr w:rsidR="00AE342F" w:rsidRPr="00575169">
        <w:tc>
          <w:tcPr>
            <w:tcW w:w="567" w:type="dxa"/>
          </w:tcPr>
          <w:p w:rsidR="00AE342F" w:rsidRPr="007D1DF0" w:rsidRDefault="00D45807">
            <w:pPr>
              <w:spacing w:line="24" w:lineRule="atLeast"/>
              <w:jc w:val="both"/>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2.</w:t>
            </w:r>
          </w:p>
        </w:tc>
        <w:tc>
          <w:tcPr>
            <w:tcW w:w="5098" w:type="dxa"/>
          </w:tcPr>
          <w:p w:rsidR="00AE342F" w:rsidRDefault="00D45807">
            <w:pPr>
              <w:jc w:val="both"/>
              <w:rPr>
                <w:rFonts w:ascii="Times New Roman" w:eastAsia="Calibri" w:hAnsi="Times New Roman" w:cs="Times New Roman"/>
                <w:sz w:val="24"/>
                <w:szCs w:val="24"/>
              </w:rPr>
            </w:pPr>
            <w:r w:rsidRPr="007D1DF0">
              <w:rPr>
                <w:rFonts w:ascii="Times New Roman" w:eastAsia="Calibri" w:hAnsi="Times New Roman" w:cs="Times New Roman"/>
                <w:sz w:val="24"/>
                <w:szCs w:val="24"/>
              </w:rPr>
              <w:t>Наличие размещенных на официальном сайте управления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в сфере архивного дела), допускающих их использование для самообследования</w:t>
            </w:r>
          </w:p>
          <w:p w:rsidR="00941B35" w:rsidRDefault="00941B35">
            <w:pPr>
              <w:jc w:val="both"/>
              <w:rPr>
                <w:rFonts w:ascii="Times New Roman" w:eastAsia="Calibri" w:hAnsi="Times New Roman" w:cs="Times New Roman"/>
                <w:sz w:val="24"/>
                <w:szCs w:val="24"/>
              </w:rPr>
            </w:pPr>
          </w:p>
          <w:p w:rsidR="00941B35" w:rsidRPr="007D1DF0" w:rsidRDefault="00941B35">
            <w:pPr>
              <w:jc w:val="both"/>
              <w:rPr>
                <w:rFonts w:ascii="Times New Roman" w:eastAsia="Calibri" w:hAnsi="Times New Roman" w:cs="Times New Roman"/>
                <w:sz w:val="24"/>
                <w:szCs w:val="24"/>
              </w:rPr>
            </w:pP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доку-мент</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2</w:t>
            </w:r>
          </w:p>
        </w:tc>
        <w:tc>
          <w:tcPr>
            <w:tcW w:w="141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2</w:t>
            </w:r>
          </w:p>
        </w:tc>
      </w:tr>
      <w:tr w:rsidR="00AE342F" w:rsidRPr="00575169">
        <w:tc>
          <w:tcPr>
            <w:tcW w:w="567" w:type="dxa"/>
          </w:tcPr>
          <w:p w:rsidR="00AE342F" w:rsidRPr="007D1DF0" w:rsidRDefault="00D45807">
            <w:pPr>
              <w:spacing w:line="24" w:lineRule="atLeast"/>
              <w:jc w:val="center"/>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lastRenderedPageBreak/>
              <w:t>1</w:t>
            </w:r>
          </w:p>
        </w:tc>
        <w:tc>
          <w:tcPr>
            <w:tcW w:w="5098" w:type="dxa"/>
          </w:tcPr>
          <w:p w:rsidR="00AE342F" w:rsidRPr="007D1DF0" w:rsidRDefault="00D45807">
            <w:pPr>
              <w:jc w:val="center"/>
              <w:rPr>
                <w:rFonts w:ascii="Times New Roman" w:eastAsia="Calibri" w:hAnsi="Times New Roman" w:cs="Times New Roman"/>
                <w:sz w:val="24"/>
                <w:szCs w:val="24"/>
              </w:rPr>
            </w:pPr>
            <w:r w:rsidRPr="007D1DF0">
              <w:rPr>
                <w:rFonts w:ascii="Times New Roman" w:eastAsia="Calibri" w:hAnsi="Times New Roman" w:cs="Times New Roman"/>
                <w:sz w:val="24"/>
                <w:szCs w:val="24"/>
              </w:rPr>
              <w:t>2</w:t>
            </w: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3</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4</w:t>
            </w:r>
          </w:p>
        </w:tc>
        <w:tc>
          <w:tcPr>
            <w:tcW w:w="141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5</w:t>
            </w:r>
          </w:p>
        </w:tc>
      </w:tr>
      <w:tr w:rsidR="00AE342F" w:rsidRPr="00575169">
        <w:tc>
          <w:tcPr>
            <w:tcW w:w="567" w:type="dxa"/>
          </w:tcPr>
          <w:p w:rsidR="00AE342F" w:rsidRPr="007D1DF0" w:rsidRDefault="00D45807">
            <w:pPr>
              <w:spacing w:line="24" w:lineRule="atLeast"/>
              <w:jc w:val="both"/>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3.</w:t>
            </w:r>
          </w:p>
        </w:tc>
        <w:tc>
          <w:tcPr>
            <w:tcW w:w="5098" w:type="dxa"/>
          </w:tcPr>
          <w:p w:rsidR="00AE342F" w:rsidRPr="007D1DF0" w:rsidRDefault="00D45807">
            <w:pPr>
              <w:jc w:val="both"/>
              <w:rPr>
                <w:rFonts w:ascii="Times New Roman" w:eastAsia="Calibri" w:hAnsi="Times New Roman" w:cs="Times New Roman"/>
                <w:sz w:val="24"/>
                <w:szCs w:val="24"/>
              </w:rPr>
            </w:pPr>
            <w:r w:rsidRPr="007D1DF0">
              <w:rPr>
                <w:rFonts w:ascii="Times New Roman" w:eastAsia="Calibri" w:hAnsi="Times New Roman" w:cs="Times New Roman"/>
                <w:sz w:val="24"/>
                <w:szCs w:val="24"/>
              </w:rPr>
              <w:t>Наличие актуальной редакции на официальном сайте управления Руководства по соблюдению обязательных требований, установленных законодательством об архивном деле (в случае его изменения)</w:t>
            </w:r>
          </w:p>
        </w:tc>
        <w:tc>
          <w:tcPr>
            <w:tcW w:w="1134" w:type="dxa"/>
          </w:tcPr>
          <w:p w:rsidR="00AE342F" w:rsidRPr="007D1DF0" w:rsidRDefault="00D45807">
            <w:pPr>
              <w:spacing w:line="24" w:lineRule="atLeast"/>
              <w:jc w:val="center"/>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процент</w:t>
            </w:r>
          </w:p>
        </w:tc>
        <w:tc>
          <w:tcPr>
            <w:tcW w:w="1418" w:type="dxa"/>
          </w:tcPr>
          <w:p w:rsidR="00AE342F" w:rsidRPr="007D1DF0" w:rsidRDefault="00D45807">
            <w:pPr>
              <w:spacing w:line="24" w:lineRule="atLeast"/>
              <w:jc w:val="center"/>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100</w:t>
            </w:r>
          </w:p>
        </w:tc>
        <w:tc>
          <w:tcPr>
            <w:tcW w:w="1417" w:type="dxa"/>
          </w:tcPr>
          <w:p w:rsidR="00AE342F" w:rsidRPr="007D1DF0" w:rsidRDefault="00D45807">
            <w:pPr>
              <w:spacing w:line="24" w:lineRule="atLeast"/>
              <w:jc w:val="center"/>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100</w:t>
            </w:r>
          </w:p>
        </w:tc>
      </w:tr>
      <w:tr w:rsidR="00AE342F" w:rsidRPr="00575169">
        <w:tc>
          <w:tcPr>
            <w:tcW w:w="567" w:type="dxa"/>
          </w:tcPr>
          <w:p w:rsidR="00AE342F" w:rsidRPr="007D1DF0" w:rsidRDefault="00D45807">
            <w:pPr>
              <w:spacing w:line="24" w:lineRule="atLeast"/>
              <w:jc w:val="both"/>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4.</w:t>
            </w:r>
          </w:p>
        </w:tc>
        <w:tc>
          <w:tcPr>
            <w:tcW w:w="5098" w:type="dxa"/>
          </w:tcPr>
          <w:p w:rsidR="00AE342F" w:rsidRPr="007D1DF0" w:rsidRDefault="00D45807">
            <w:pPr>
              <w:autoSpaceDE w:val="0"/>
              <w:autoSpaceDN w:val="0"/>
              <w:adjustRightInd w:val="0"/>
              <w:jc w:val="both"/>
              <w:rPr>
                <w:rFonts w:ascii="Times New Roman" w:eastAsia="Calibri" w:hAnsi="Times New Roman" w:cs="Times New Roman"/>
                <w:sz w:val="24"/>
                <w:szCs w:val="24"/>
              </w:rPr>
            </w:pPr>
            <w:r w:rsidRPr="007D1DF0">
              <w:rPr>
                <w:rFonts w:ascii="Times New Roman" w:eastAsia="Calibri" w:hAnsi="Times New Roman" w:cs="Times New Roman"/>
                <w:sz w:val="24"/>
                <w:szCs w:val="24"/>
              </w:rPr>
              <w:t xml:space="preserve">Наличие размещенного на официальном сайте управления утвержденного </w:t>
            </w:r>
            <w:r w:rsidRPr="007D1DF0">
              <w:rPr>
                <w:rFonts w:ascii="Times New Roman" w:hAnsi="Times New Roman" w:cs="Times New Roman"/>
                <w:sz w:val="24"/>
                <w:szCs w:val="24"/>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доку-мент</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w:t>
            </w:r>
          </w:p>
        </w:tc>
        <w:tc>
          <w:tcPr>
            <w:tcW w:w="141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000000" w:themeColor="text1"/>
                <w:sz w:val="24"/>
                <w:szCs w:val="24"/>
              </w:rPr>
              <w:t>1</w:t>
            </w:r>
          </w:p>
        </w:tc>
      </w:tr>
      <w:tr w:rsidR="00AE342F" w:rsidRPr="00575169">
        <w:tc>
          <w:tcPr>
            <w:tcW w:w="567" w:type="dxa"/>
          </w:tcPr>
          <w:p w:rsidR="00AE342F" w:rsidRPr="007D1DF0" w:rsidRDefault="00D45807">
            <w:pPr>
              <w:spacing w:line="24" w:lineRule="atLeast"/>
              <w:jc w:val="both"/>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5.</w:t>
            </w:r>
          </w:p>
        </w:tc>
        <w:tc>
          <w:tcPr>
            <w:tcW w:w="5098" w:type="dxa"/>
          </w:tcPr>
          <w:p w:rsidR="00AE342F" w:rsidRPr="007D1DF0" w:rsidRDefault="00D45807">
            <w:pPr>
              <w:jc w:val="both"/>
              <w:rPr>
                <w:rFonts w:ascii="Times New Roman" w:eastAsia="Calibri" w:hAnsi="Times New Roman" w:cs="Times New Roman"/>
                <w:sz w:val="24"/>
                <w:szCs w:val="24"/>
              </w:rPr>
            </w:pPr>
            <w:r w:rsidRPr="007D1DF0">
              <w:rPr>
                <w:rFonts w:ascii="Times New Roman" w:eastAsia="Calibri" w:hAnsi="Times New Roman" w:cs="Times New Roman"/>
                <w:sz w:val="24"/>
                <w:szCs w:val="24"/>
              </w:rPr>
              <w:t>Наличие своевременно размещенного на офи-циальном сайте управления плана проведения плановых контрольных (надзорных) мероприя-тий на год</w:t>
            </w: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доку-мент</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w:t>
            </w:r>
          </w:p>
        </w:tc>
        <w:tc>
          <w:tcPr>
            <w:tcW w:w="141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w:t>
            </w:r>
          </w:p>
        </w:tc>
      </w:tr>
      <w:tr w:rsidR="00AE342F" w:rsidRPr="00575169">
        <w:tc>
          <w:tcPr>
            <w:tcW w:w="567" w:type="dxa"/>
          </w:tcPr>
          <w:p w:rsidR="00AE342F" w:rsidRPr="007D1DF0" w:rsidRDefault="00D45807">
            <w:pPr>
              <w:spacing w:line="24" w:lineRule="atLeast"/>
              <w:jc w:val="both"/>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6.</w:t>
            </w:r>
          </w:p>
        </w:tc>
        <w:tc>
          <w:tcPr>
            <w:tcW w:w="5098" w:type="dxa"/>
          </w:tcPr>
          <w:p w:rsidR="00AE342F" w:rsidRPr="007D1DF0" w:rsidRDefault="00D45807">
            <w:pPr>
              <w:jc w:val="both"/>
              <w:rPr>
                <w:rFonts w:ascii="Times New Roman" w:eastAsia="Calibri" w:hAnsi="Times New Roman" w:cs="Times New Roman"/>
                <w:sz w:val="24"/>
                <w:szCs w:val="24"/>
              </w:rPr>
            </w:pPr>
            <w:r w:rsidRPr="007D1DF0">
              <w:rPr>
                <w:rFonts w:ascii="Times New Roman" w:eastAsia="Calibri" w:hAnsi="Times New Roman" w:cs="Times New Roman"/>
                <w:sz w:val="24"/>
                <w:szCs w:val="24"/>
              </w:rPr>
              <w:t>Наличие размещенного на официальном сайте управления доклада (отчета) об итогах профи-лактической работы, проведенной управлением в 2021 году</w:t>
            </w: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доку-мент</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w:t>
            </w:r>
          </w:p>
        </w:tc>
        <w:tc>
          <w:tcPr>
            <w:tcW w:w="141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w:t>
            </w:r>
          </w:p>
        </w:tc>
      </w:tr>
      <w:tr w:rsidR="00AE342F" w:rsidRPr="00575169">
        <w:tc>
          <w:tcPr>
            <w:tcW w:w="567" w:type="dxa"/>
          </w:tcPr>
          <w:p w:rsidR="00AE342F" w:rsidRPr="007D1DF0" w:rsidRDefault="00D45807">
            <w:pPr>
              <w:spacing w:line="24" w:lineRule="atLeast"/>
              <w:jc w:val="both"/>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7.</w:t>
            </w:r>
          </w:p>
        </w:tc>
        <w:tc>
          <w:tcPr>
            <w:tcW w:w="5098" w:type="dxa"/>
          </w:tcPr>
          <w:p w:rsidR="00AE342F" w:rsidRPr="007D1DF0" w:rsidRDefault="00D45807">
            <w:pPr>
              <w:jc w:val="both"/>
              <w:rPr>
                <w:rFonts w:ascii="Times New Roman" w:hAnsi="Times New Roman" w:cs="Times New Roman"/>
                <w:sz w:val="24"/>
                <w:szCs w:val="24"/>
              </w:rPr>
            </w:pPr>
            <w:r w:rsidRPr="007D1DF0">
              <w:rPr>
                <w:rFonts w:ascii="Times New Roman" w:hAnsi="Times New Roman" w:cs="Times New Roman"/>
                <w:sz w:val="24"/>
                <w:szCs w:val="24"/>
              </w:rPr>
              <w:t xml:space="preserve">Наличие утвержденной и размещенной </w:t>
            </w:r>
            <w:r w:rsidRPr="007D1DF0">
              <w:rPr>
                <w:rFonts w:ascii="Times New Roman" w:eastAsia="Calibri" w:hAnsi="Times New Roman" w:cs="Times New Roman"/>
                <w:sz w:val="24"/>
                <w:szCs w:val="24"/>
              </w:rPr>
              <w:t xml:space="preserve">на официальном сайте управления </w:t>
            </w:r>
            <w:r w:rsidRPr="007D1DF0">
              <w:rPr>
                <w:rFonts w:ascii="Times New Roman" w:hAnsi="Times New Roman" w:cs="Times New Roman"/>
                <w:sz w:val="24"/>
                <w:szCs w:val="24"/>
              </w:rPr>
              <w:t>Программы профилактики рисков причинения вреда (ущерба) охраняемым законом ценностям по региональному государственному контролю (надзору) за соблюдением законодательства об архивном деле, осуществляемому управле-нием на 2023 год</w:t>
            </w: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доку-мент</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w:t>
            </w:r>
          </w:p>
        </w:tc>
        <w:tc>
          <w:tcPr>
            <w:tcW w:w="141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w:t>
            </w:r>
          </w:p>
        </w:tc>
      </w:tr>
      <w:tr w:rsidR="00AE342F" w:rsidRPr="00575169">
        <w:tc>
          <w:tcPr>
            <w:tcW w:w="567" w:type="dxa"/>
          </w:tcPr>
          <w:p w:rsidR="00AE342F" w:rsidRPr="007D1DF0" w:rsidRDefault="00D45807">
            <w:pPr>
              <w:spacing w:line="24" w:lineRule="atLeast"/>
              <w:jc w:val="both"/>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8.</w:t>
            </w:r>
          </w:p>
        </w:tc>
        <w:tc>
          <w:tcPr>
            <w:tcW w:w="5098" w:type="dxa"/>
          </w:tcPr>
          <w:p w:rsidR="00AE342F" w:rsidRPr="007D1DF0" w:rsidRDefault="00D45807">
            <w:pPr>
              <w:jc w:val="both"/>
              <w:rPr>
                <w:rFonts w:ascii="Times New Roman" w:hAnsi="Times New Roman" w:cs="Times New Roman"/>
                <w:sz w:val="24"/>
                <w:szCs w:val="24"/>
              </w:rPr>
            </w:pPr>
            <w:r w:rsidRPr="007D1DF0">
              <w:rPr>
                <w:rFonts w:ascii="Times New Roman" w:eastAsia="Calibri" w:hAnsi="Times New Roman" w:cs="Times New Roman"/>
                <w:sz w:val="24"/>
                <w:szCs w:val="24"/>
              </w:rPr>
              <w:t>Наличие размещенных на официальном сайте управления поквартальных о</w:t>
            </w:r>
            <w:r w:rsidRPr="007D1DF0">
              <w:rPr>
                <w:rFonts w:ascii="Times New Roman" w:hAnsi="Times New Roman" w:cs="Times New Roman"/>
                <w:sz w:val="24"/>
                <w:szCs w:val="24"/>
              </w:rPr>
              <w:t>бобщений практи-ки осуществления регионального государствен-ного контроля (надзора) за соблюдением законодательства об архивном деле</w:t>
            </w: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доку-мент</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4</w:t>
            </w:r>
          </w:p>
        </w:tc>
        <w:tc>
          <w:tcPr>
            <w:tcW w:w="141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4</w:t>
            </w:r>
          </w:p>
        </w:tc>
      </w:tr>
      <w:tr w:rsidR="00AE342F" w:rsidRPr="00575169">
        <w:tc>
          <w:tcPr>
            <w:tcW w:w="567" w:type="dxa"/>
          </w:tcPr>
          <w:p w:rsidR="00AE342F" w:rsidRPr="007D1DF0" w:rsidRDefault="00D45807">
            <w:pPr>
              <w:spacing w:line="24" w:lineRule="atLeast"/>
              <w:jc w:val="both"/>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9.</w:t>
            </w:r>
          </w:p>
        </w:tc>
        <w:tc>
          <w:tcPr>
            <w:tcW w:w="5098" w:type="dxa"/>
          </w:tcPr>
          <w:p w:rsidR="00AE342F" w:rsidRPr="007D1DF0" w:rsidRDefault="00D45807">
            <w:pPr>
              <w:jc w:val="both"/>
              <w:rPr>
                <w:rFonts w:ascii="Times New Roman" w:eastAsia="Calibri" w:hAnsi="Times New Roman" w:cs="Times New Roman"/>
                <w:sz w:val="24"/>
                <w:szCs w:val="24"/>
              </w:rPr>
            </w:pPr>
            <w:r w:rsidRPr="007D1DF0">
              <w:rPr>
                <w:rFonts w:ascii="Times New Roman" w:eastAsia="Calibri" w:hAnsi="Times New Roman" w:cs="Times New Roman"/>
                <w:sz w:val="24"/>
                <w:szCs w:val="24"/>
              </w:rPr>
              <w:t xml:space="preserve">Наличие размещенного на официальном сайте управления </w:t>
            </w:r>
            <w:r w:rsidRPr="007D1DF0">
              <w:rPr>
                <w:rFonts w:ascii="Times New Roman" w:hAnsi="Times New Roman" w:cs="Times New Roman"/>
                <w:sz w:val="24"/>
                <w:szCs w:val="24"/>
              </w:rPr>
              <w:t>доклада о правоприменительной практике управления в 2021 году</w:t>
            </w: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доку-мент</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w:t>
            </w:r>
          </w:p>
        </w:tc>
        <w:tc>
          <w:tcPr>
            <w:tcW w:w="141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w:t>
            </w:r>
          </w:p>
        </w:tc>
      </w:tr>
      <w:tr w:rsidR="00AE342F" w:rsidRPr="00575169">
        <w:tc>
          <w:tcPr>
            <w:tcW w:w="567" w:type="dxa"/>
          </w:tcPr>
          <w:p w:rsidR="00AE342F" w:rsidRPr="007D1DF0" w:rsidRDefault="00D45807">
            <w:pPr>
              <w:spacing w:line="24" w:lineRule="atLeast"/>
              <w:jc w:val="both"/>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10.</w:t>
            </w:r>
          </w:p>
        </w:tc>
        <w:tc>
          <w:tcPr>
            <w:tcW w:w="5098" w:type="dxa"/>
          </w:tcPr>
          <w:p w:rsidR="00AE342F" w:rsidRPr="007D1DF0" w:rsidRDefault="00D45807">
            <w:pPr>
              <w:jc w:val="both"/>
              <w:rPr>
                <w:rFonts w:ascii="Times New Roman" w:eastAsia="Calibri" w:hAnsi="Times New Roman" w:cs="Times New Roman"/>
                <w:sz w:val="24"/>
                <w:szCs w:val="24"/>
              </w:rPr>
            </w:pPr>
            <w:r w:rsidRPr="007D1DF0">
              <w:rPr>
                <w:rFonts w:ascii="Times New Roman" w:hAnsi="Times New Roman" w:cs="Times New Roman"/>
                <w:sz w:val="24"/>
                <w:szCs w:val="24"/>
              </w:rPr>
              <w:t>Проведение публичных обсуждений результатов правоприменительной практики управления в 2022 году</w:t>
            </w: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меро-приятие</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w:t>
            </w:r>
          </w:p>
        </w:tc>
        <w:tc>
          <w:tcPr>
            <w:tcW w:w="141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w:t>
            </w:r>
          </w:p>
        </w:tc>
      </w:tr>
      <w:tr w:rsidR="00AE342F" w:rsidRPr="00575169">
        <w:tc>
          <w:tcPr>
            <w:tcW w:w="567" w:type="dxa"/>
          </w:tcPr>
          <w:p w:rsidR="00AE342F" w:rsidRPr="007D1DF0" w:rsidRDefault="00D45807">
            <w:pPr>
              <w:spacing w:line="24" w:lineRule="atLeast"/>
              <w:jc w:val="both"/>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11.</w:t>
            </w:r>
          </w:p>
        </w:tc>
        <w:tc>
          <w:tcPr>
            <w:tcW w:w="5098" w:type="dxa"/>
          </w:tcPr>
          <w:p w:rsidR="00AE342F" w:rsidRPr="007D1DF0" w:rsidRDefault="00D45807">
            <w:pPr>
              <w:jc w:val="both"/>
              <w:rPr>
                <w:rFonts w:ascii="Times New Roman" w:eastAsia="Calibri" w:hAnsi="Times New Roman" w:cs="Times New Roman"/>
                <w:sz w:val="24"/>
                <w:szCs w:val="24"/>
              </w:rPr>
            </w:pPr>
            <w:r w:rsidRPr="007D1DF0">
              <w:rPr>
                <w:rFonts w:ascii="Times New Roman" w:hAnsi="Times New Roman" w:cs="Times New Roman"/>
                <w:sz w:val="24"/>
                <w:szCs w:val="24"/>
              </w:rPr>
              <w:t>Консультирование контролируемых лиц и их представителей (разъяснения по вопросам, связанным с организацией и осуществлением регионального государственного контроля (надзора) за соблюдением законодательства об архивном деле) всеми предусмотренными способами (по телефону; посредством видео-конференц-связи; при обращении на личный прием; в ходе проведения профилактических мероприятий, контрольных (надзорных) мероприятий; посредством размещения на официальном сайте управления письменного разъяснения)</w:t>
            </w: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процент</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100</w:t>
            </w:r>
          </w:p>
        </w:tc>
        <w:tc>
          <w:tcPr>
            <w:tcW w:w="141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100</w:t>
            </w:r>
          </w:p>
        </w:tc>
      </w:tr>
      <w:tr w:rsidR="00AE342F" w:rsidRPr="00575169">
        <w:tc>
          <w:tcPr>
            <w:tcW w:w="567" w:type="dxa"/>
          </w:tcPr>
          <w:p w:rsidR="00AE342F" w:rsidRPr="007D1DF0" w:rsidRDefault="00D45807">
            <w:pPr>
              <w:spacing w:line="24" w:lineRule="atLeast"/>
              <w:jc w:val="center"/>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lastRenderedPageBreak/>
              <w:t>1</w:t>
            </w:r>
          </w:p>
        </w:tc>
        <w:tc>
          <w:tcPr>
            <w:tcW w:w="5098" w:type="dxa"/>
          </w:tcPr>
          <w:p w:rsidR="00AE342F" w:rsidRPr="007D1DF0" w:rsidRDefault="00D45807">
            <w:pPr>
              <w:jc w:val="center"/>
              <w:rPr>
                <w:rFonts w:ascii="Times New Roman" w:eastAsia="Calibri" w:hAnsi="Times New Roman" w:cs="Times New Roman"/>
                <w:sz w:val="24"/>
                <w:szCs w:val="24"/>
              </w:rPr>
            </w:pPr>
            <w:r w:rsidRPr="007D1DF0">
              <w:rPr>
                <w:rFonts w:ascii="Times New Roman" w:eastAsia="Calibri" w:hAnsi="Times New Roman" w:cs="Times New Roman"/>
                <w:sz w:val="24"/>
                <w:szCs w:val="24"/>
              </w:rPr>
              <w:t>2</w:t>
            </w: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3</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4</w:t>
            </w:r>
          </w:p>
        </w:tc>
        <w:tc>
          <w:tcPr>
            <w:tcW w:w="141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5</w:t>
            </w:r>
          </w:p>
        </w:tc>
      </w:tr>
      <w:tr w:rsidR="00AE342F" w:rsidRPr="00575169">
        <w:tc>
          <w:tcPr>
            <w:tcW w:w="567" w:type="dxa"/>
          </w:tcPr>
          <w:p w:rsidR="00AE342F" w:rsidRPr="007D1DF0" w:rsidRDefault="00D45807">
            <w:pPr>
              <w:spacing w:line="24" w:lineRule="atLeast"/>
              <w:jc w:val="both"/>
              <w:rPr>
                <w:rFonts w:ascii="Times New Roman" w:eastAsia="Calibri" w:hAnsi="Times New Roman" w:cs="Times New Roman"/>
                <w:color w:val="auto"/>
                <w:sz w:val="24"/>
                <w:szCs w:val="24"/>
              </w:rPr>
            </w:pPr>
            <w:r w:rsidRPr="007D1DF0">
              <w:rPr>
                <w:rFonts w:ascii="Times New Roman" w:eastAsia="Calibri" w:hAnsi="Times New Roman" w:cs="Times New Roman"/>
                <w:color w:val="auto"/>
                <w:sz w:val="24"/>
                <w:szCs w:val="24"/>
              </w:rPr>
              <w:t>12.</w:t>
            </w:r>
          </w:p>
        </w:tc>
        <w:tc>
          <w:tcPr>
            <w:tcW w:w="5098" w:type="dxa"/>
          </w:tcPr>
          <w:p w:rsidR="00AE342F" w:rsidRPr="007D1DF0" w:rsidRDefault="00D45807">
            <w:pPr>
              <w:pStyle w:val="ConsPlusNormal"/>
              <w:jc w:val="both"/>
              <w:rPr>
                <w:rFonts w:ascii="Times New Roman" w:hAnsi="Times New Roman" w:cs="Times New Roman"/>
                <w:sz w:val="24"/>
                <w:szCs w:val="24"/>
              </w:rPr>
            </w:pPr>
            <w:r w:rsidRPr="007D1DF0">
              <w:rPr>
                <w:rFonts w:ascii="Times New Roman" w:hAnsi="Times New Roman" w:cs="Times New Roman"/>
                <w:sz w:val="24"/>
                <w:szCs w:val="24"/>
              </w:rPr>
              <w:t>Проведение ежемесячно обязательных профилактических визитов в отношении контролируемых лиц, приступивших к осуществлению деятельности в сфере архивного дела в 2021 году (включенных в списки организаций – источников комплектования государственного или муниципального архива), в том числе путем использования видео-конференц-связи</w:t>
            </w:r>
          </w:p>
        </w:tc>
        <w:tc>
          <w:tcPr>
            <w:tcW w:w="1134"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процент</w:t>
            </w:r>
          </w:p>
        </w:tc>
        <w:tc>
          <w:tcPr>
            <w:tcW w:w="1418"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100</w:t>
            </w:r>
          </w:p>
        </w:tc>
        <w:tc>
          <w:tcPr>
            <w:tcW w:w="1417" w:type="dxa"/>
          </w:tcPr>
          <w:p w:rsidR="00AE342F" w:rsidRPr="007D1DF0" w:rsidRDefault="00D45807">
            <w:pPr>
              <w:spacing w:line="24" w:lineRule="atLeast"/>
              <w:jc w:val="center"/>
              <w:rPr>
                <w:rFonts w:ascii="Times New Roman" w:eastAsia="Times New Roman" w:hAnsi="Times New Roman" w:cs="Times New Roman"/>
                <w:color w:val="auto"/>
                <w:sz w:val="24"/>
                <w:szCs w:val="24"/>
              </w:rPr>
            </w:pPr>
            <w:r w:rsidRPr="007D1DF0">
              <w:rPr>
                <w:rFonts w:ascii="Times New Roman" w:eastAsia="Times New Roman" w:hAnsi="Times New Roman" w:cs="Times New Roman"/>
                <w:color w:val="auto"/>
                <w:sz w:val="24"/>
                <w:szCs w:val="24"/>
              </w:rPr>
              <w:t>100*</w:t>
            </w:r>
          </w:p>
        </w:tc>
      </w:tr>
      <w:tr w:rsidR="00AE342F" w:rsidRPr="00575169">
        <w:tc>
          <w:tcPr>
            <w:tcW w:w="9634" w:type="dxa"/>
            <w:gridSpan w:val="5"/>
          </w:tcPr>
          <w:p w:rsidR="00AE342F" w:rsidRPr="007D1DF0" w:rsidRDefault="00D45807">
            <w:pPr>
              <w:spacing w:line="24" w:lineRule="atLeast"/>
              <w:jc w:val="both"/>
              <w:rPr>
                <w:rFonts w:ascii="Times New Roman" w:hAnsi="Times New Roman" w:cs="Times New Roman"/>
                <w:sz w:val="24"/>
                <w:szCs w:val="24"/>
              </w:rPr>
            </w:pPr>
            <w:r w:rsidRPr="007D1DF0">
              <w:rPr>
                <w:rFonts w:ascii="Times New Roman" w:eastAsia="Times New Roman" w:hAnsi="Times New Roman" w:cs="Times New Roman"/>
                <w:color w:val="auto"/>
                <w:sz w:val="24"/>
                <w:szCs w:val="24"/>
              </w:rPr>
              <w:t>*</w:t>
            </w:r>
            <w:r w:rsidRPr="007D1DF0">
              <w:rPr>
                <w:rFonts w:ascii="Times New Roman" w:hAnsi="Times New Roman" w:cs="Times New Roman"/>
                <w:sz w:val="24"/>
                <w:szCs w:val="24"/>
              </w:rPr>
              <w:t xml:space="preserve"> в </w:t>
            </w:r>
            <w:r w:rsidRPr="00941B35">
              <w:rPr>
                <w:rFonts w:ascii="Times New Roman" w:hAnsi="Times New Roman" w:cs="Times New Roman"/>
                <w:sz w:val="24"/>
                <w:szCs w:val="24"/>
              </w:rPr>
              <w:t xml:space="preserve">соответствии с частью 6 статьи 52 </w:t>
            </w:r>
            <w:r w:rsidR="00487344" w:rsidRPr="00941B35">
              <w:rPr>
                <w:rFonts w:ascii="Times New Roman" w:hAnsi="Times New Roman" w:cs="Times New Roman"/>
                <w:sz w:val="24"/>
                <w:szCs w:val="24"/>
              </w:rPr>
              <w:t>Федерального закона от 31.07.2020 № 248-ФЗ «О</w:t>
            </w:r>
            <w:r w:rsidR="00487344" w:rsidRPr="00941B35">
              <w:rPr>
                <w:rFonts w:ascii="Times New Roman" w:hAnsi="Times New Roman" w:cs="Times New Roman"/>
                <w:sz w:val="24"/>
                <w:szCs w:val="24"/>
                <w:lang w:val="en-US"/>
              </w:rPr>
              <w:t> </w:t>
            </w:r>
            <w:r w:rsidR="00487344" w:rsidRPr="00941B35">
              <w:rPr>
                <w:rFonts w:ascii="Times New Roman" w:hAnsi="Times New Roman" w:cs="Times New Roman"/>
                <w:sz w:val="24"/>
                <w:szCs w:val="24"/>
              </w:rPr>
              <w:t>государственном контроле (надзоре) и муниципальном контроле в Российской Федерации»</w:t>
            </w:r>
            <w:r w:rsidRPr="00941B35">
              <w:rPr>
                <w:rFonts w:ascii="Times New Roman" w:hAnsi="Times New Roman" w:cs="Times New Roman"/>
                <w:sz w:val="24"/>
                <w:szCs w:val="24"/>
              </w:rPr>
              <w:t xml:space="preserve"> от проведения обязательного профилактического визита отказались 7 контролируемых лиц</w:t>
            </w:r>
          </w:p>
        </w:tc>
      </w:tr>
    </w:tbl>
    <w:p w:rsidR="00AE342F" w:rsidRPr="00575169" w:rsidRDefault="00D45807">
      <w:pPr>
        <w:pStyle w:val="22"/>
        <w:shd w:val="clear" w:color="auto" w:fill="auto"/>
        <w:tabs>
          <w:tab w:val="left" w:pos="1150"/>
        </w:tabs>
        <w:spacing w:before="0" w:line="24" w:lineRule="atLeast"/>
        <w:ind w:firstLine="709"/>
      </w:pPr>
      <w:r w:rsidRPr="00575169">
        <w:t xml:space="preserve">Таким образом, установленные отчетные показатели оценки эффективности и результативности </w:t>
      </w:r>
      <w:r w:rsidRPr="00575169">
        <w:rPr>
          <w:color w:val="auto"/>
        </w:rPr>
        <w:t xml:space="preserve">выполнения мероприятий </w:t>
      </w:r>
      <w:r w:rsidRPr="00575169">
        <w:rPr>
          <w:rFonts w:eastAsiaTheme="minorHAnsi"/>
          <w:lang w:eastAsia="en-US"/>
        </w:rPr>
        <w:t>Программы профилактики рисков причинения вреда на 2022 год</w:t>
      </w:r>
      <w:r w:rsidRPr="00575169">
        <w:rPr>
          <w:color w:val="auto"/>
        </w:rPr>
        <w:t xml:space="preserve"> </w:t>
      </w:r>
      <w:r w:rsidRPr="00575169">
        <w:t>достигнуты.</w:t>
      </w:r>
    </w:p>
    <w:p w:rsidR="00AE342F" w:rsidRPr="00575169" w:rsidRDefault="00D45807">
      <w:pPr>
        <w:pStyle w:val="22"/>
        <w:shd w:val="clear" w:color="auto" w:fill="auto"/>
        <w:tabs>
          <w:tab w:val="left" w:pos="1150"/>
        </w:tabs>
        <w:spacing w:before="0" w:line="24" w:lineRule="atLeast"/>
        <w:ind w:firstLine="709"/>
      </w:pPr>
      <w:r w:rsidRPr="00575169">
        <w:t>Мероприятия, включенные в План-график на 2022 год (18 позиций), направленные на предупреждение нарушений контролируемыми лицами обязательных требований законодательства об архивном деле, исполнены управлением в полном объеме.</w:t>
      </w:r>
    </w:p>
    <w:p w:rsidR="00AE342F" w:rsidRPr="00575169" w:rsidRDefault="00D45807">
      <w:pPr>
        <w:pStyle w:val="22"/>
        <w:shd w:val="clear" w:color="auto" w:fill="auto"/>
        <w:tabs>
          <w:tab w:val="left" w:pos="1150"/>
        </w:tabs>
        <w:spacing w:before="0" w:line="24" w:lineRule="atLeast"/>
        <w:ind w:firstLine="709"/>
        <w:rPr>
          <w:rFonts w:eastAsiaTheme="minorHAnsi"/>
          <w:lang w:eastAsia="en-US"/>
        </w:rPr>
      </w:pPr>
      <w:r w:rsidRPr="00575169">
        <w:rPr>
          <w:rFonts w:eastAsiaTheme="minorHAnsi"/>
          <w:lang w:eastAsia="en-US"/>
        </w:rPr>
        <w:t xml:space="preserve">Доля выполнения утвержденного Плана-графика на 2022 год и Программы профилактики </w:t>
      </w:r>
      <w:r w:rsidRPr="00575169">
        <w:t>рисков причинения вреда</w:t>
      </w:r>
      <w:r w:rsidRPr="00575169">
        <w:rPr>
          <w:rFonts w:eastAsiaTheme="minorHAnsi"/>
          <w:lang w:eastAsia="en-US"/>
        </w:rPr>
        <w:t xml:space="preserve"> на 2022 год составила 100%.</w:t>
      </w:r>
    </w:p>
    <w:p w:rsidR="00EB76F4" w:rsidRPr="00575169" w:rsidRDefault="00D45807" w:rsidP="00EB76F4">
      <w:pPr>
        <w:pStyle w:val="22"/>
        <w:shd w:val="clear" w:color="auto" w:fill="auto"/>
        <w:tabs>
          <w:tab w:val="left" w:pos="1150"/>
        </w:tabs>
        <w:spacing w:before="0" w:line="24" w:lineRule="atLeast"/>
        <w:ind w:firstLine="709"/>
        <w:rPr>
          <w:color w:val="auto"/>
          <w:lang w:bidi="ar-SA"/>
        </w:rPr>
      </w:pPr>
      <w:r w:rsidRPr="00575169">
        <w:rPr>
          <w:color w:val="auto"/>
          <w:lang w:bidi="ar-SA"/>
        </w:rPr>
        <w:t xml:space="preserve">Действия и решения должностных лиц управления, осуществляющих полномочия по региональному государственному контролю (надзору) </w:t>
      </w:r>
      <w:r w:rsidRPr="00575169">
        <w:t>за соблюдением законодательства об архивном деле</w:t>
      </w:r>
      <w:r w:rsidRPr="00575169">
        <w:rPr>
          <w:color w:val="auto"/>
          <w:lang w:bidi="ar-SA"/>
        </w:rPr>
        <w:t>, в административном порядке не обжаловались. Жалоб на действия (бездействия) должностных лиц управления от контролируемых лиц не поступало. Жалобы и заявления от проверенных управлением контролируемых лиц о признании недействительными результатов проверок не поступали.</w:t>
      </w:r>
      <w:r w:rsidR="00EB76F4" w:rsidRPr="00575169">
        <w:rPr>
          <w:color w:val="auto"/>
          <w:lang w:bidi="ar-SA"/>
        </w:rPr>
        <w:t xml:space="preserve"> </w:t>
      </w:r>
    </w:p>
    <w:p w:rsidR="00AE342F" w:rsidRPr="00575169" w:rsidRDefault="00D45807" w:rsidP="00EB76F4">
      <w:pPr>
        <w:pStyle w:val="22"/>
        <w:shd w:val="clear" w:color="auto" w:fill="auto"/>
        <w:tabs>
          <w:tab w:val="left" w:pos="1150"/>
        </w:tabs>
        <w:spacing w:before="0" w:line="24" w:lineRule="atLeast"/>
        <w:ind w:firstLine="709"/>
        <w:rPr>
          <w:color w:val="auto"/>
          <w:lang w:bidi="ar-SA"/>
        </w:rPr>
      </w:pPr>
      <w:r w:rsidRPr="00575169">
        <w:rPr>
          <w:rFonts w:eastAsia="Calibri"/>
          <w:color w:val="000000" w:themeColor="text1"/>
        </w:rPr>
        <w:t>В 2022 году в судебном порядке муниципальным автономным учреждением города Новосибирска «Стадион» (далее – МАУ «Стадион», учреждение) обжаловано выданное управлением предписание об устранении выявленных нарушений обязательных требований законодательства об архивном деле от 13.10.2021 № 8. В результате, Арбитражным судом Новосибирской области по иску МАУ «Стадион» к управлению о признании недействительным предписания, вынесено решение от 24.03.2022 по делу № А45-187/2022, согласно которому учреждению отказано в удовлетворении заявленных требований. Рассмотренные жалобы МАУ «Стадион» в апелляционном и кассационном порядках оставлены без удовлетворения.</w:t>
      </w:r>
    </w:p>
    <w:p w:rsidR="00AE342F" w:rsidRPr="00575169" w:rsidRDefault="00D45807">
      <w:pPr>
        <w:pStyle w:val="22"/>
        <w:shd w:val="clear" w:color="auto" w:fill="auto"/>
        <w:tabs>
          <w:tab w:val="left" w:pos="1150"/>
        </w:tabs>
        <w:spacing w:before="0" w:line="24" w:lineRule="atLeast"/>
        <w:ind w:firstLine="709"/>
        <w:rPr>
          <w:color w:val="auto"/>
          <w:lang w:bidi="ar-SA"/>
        </w:rPr>
      </w:pPr>
      <w:r w:rsidRPr="00575169">
        <w:rPr>
          <w:color w:val="auto"/>
          <w:lang w:bidi="ar-SA"/>
        </w:rPr>
        <w:t>Протоколы об административном правонарушении, выданные должностными лицами управления, уполномоченными на проведение контрольных мероприятий, не обжаловались.</w:t>
      </w:r>
    </w:p>
    <w:p w:rsidR="00AE342F" w:rsidRPr="00575169" w:rsidRDefault="00D45807">
      <w:pPr>
        <w:pStyle w:val="22"/>
        <w:shd w:val="clear" w:color="auto" w:fill="auto"/>
        <w:tabs>
          <w:tab w:val="left" w:pos="1150"/>
        </w:tabs>
        <w:spacing w:before="0" w:line="24" w:lineRule="atLeast"/>
        <w:ind w:firstLine="709"/>
      </w:pPr>
      <w:r w:rsidRPr="00575169">
        <w:rPr>
          <w:color w:val="auto"/>
        </w:rPr>
        <w:t xml:space="preserve">Проводимые управлением профилактические мероприятия ведут к повышению уровня </w:t>
      </w:r>
      <w:r w:rsidRPr="00575169">
        <w:rPr>
          <w:rFonts w:eastAsia="Calibri"/>
          <w:lang w:eastAsia="en-US"/>
        </w:rPr>
        <w:t>правовой грамотности контролируемых лиц по вопросам соблюдения обязательных требований,</w:t>
      </w:r>
      <w:r w:rsidRPr="00575169">
        <w:t xml:space="preserve"> что, в свою очередь, приводит к снижению количества выявляемых нарушений, а также к повышению </w:t>
      </w:r>
      <w:r w:rsidRPr="00575169">
        <w:lastRenderedPageBreak/>
        <w:t>осведомленности о том, какие именно интересы контролируемых лиц защищаются при осуществлении регионального государственного контроля (надзора) за соблюдением законодательства об архивном деле, что повлечет сохранение исторически и социально значимых документов, сокращение нарушений прав граждан и организаций на получение информации.</w:t>
      </w:r>
    </w:p>
    <w:p w:rsidR="00AE342F" w:rsidRPr="00575169" w:rsidRDefault="00D45807">
      <w:pPr>
        <w:pStyle w:val="22"/>
        <w:shd w:val="clear" w:color="auto" w:fill="auto"/>
        <w:tabs>
          <w:tab w:val="left" w:pos="1150"/>
        </w:tabs>
        <w:spacing w:before="0" w:line="24" w:lineRule="atLeast"/>
        <w:ind w:firstLine="709"/>
      </w:pPr>
      <w:r w:rsidRPr="00575169">
        <w:t>Наибольший эффект приносит, как показывает практика, проводимые сотрудниками управления семинары и иные публичные мероприятия, профилактические визиты, выданные предостережения и непосредственное консультирование представителей контролируемых лиц.</w:t>
      </w:r>
    </w:p>
    <w:p w:rsidR="00AE342F" w:rsidRDefault="00D45807">
      <w:pPr>
        <w:pStyle w:val="22"/>
        <w:shd w:val="clear" w:color="auto" w:fill="auto"/>
        <w:tabs>
          <w:tab w:val="left" w:pos="1150"/>
        </w:tabs>
        <w:spacing w:before="0" w:line="24" w:lineRule="atLeast"/>
        <w:ind w:firstLine="709"/>
      </w:pPr>
      <w:r w:rsidRPr="00575169">
        <w:t>На основании изложенного и достигнутых значений количественных и качественных показателей, проведенная управлением в 2022 году работа по профилактике рисков причинения вреда (ущерба) охраняемым законом ценностям оценивается как эффективная.</w:t>
      </w:r>
    </w:p>
    <w:p w:rsidR="00AE342F" w:rsidRDefault="00D45807">
      <w:pPr>
        <w:pStyle w:val="22"/>
        <w:shd w:val="clear" w:color="auto" w:fill="auto"/>
        <w:tabs>
          <w:tab w:val="left" w:pos="1150"/>
        </w:tabs>
        <w:spacing w:before="0" w:line="24" w:lineRule="atLeast"/>
        <w:jc w:val="center"/>
      </w:pPr>
      <w:r>
        <w:t>___________</w:t>
      </w:r>
    </w:p>
    <w:sectPr w:rsidR="00AE342F">
      <w:headerReference w:type="default" r:id="rId32"/>
      <w:pgSz w:w="11900" w:h="16840"/>
      <w:pgMar w:top="1134" w:right="851" w:bottom="993" w:left="1418" w:header="567"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7A" w:rsidRDefault="00E5447A">
      <w:r>
        <w:separator/>
      </w:r>
    </w:p>
  </w:endnote>
  <w:endnote w:type="continuationSeparator" w:id="0">
    <w:p w:rsidR="00E5447A" w:rsidRDefault="00E5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7A" w:rsidRDefault="00E5447A"/>
  </w:footnote>
  <w:footnote w:type="continuationSeparator" w:id="0">
    <w:p w:rsidR="00E5447A" w:rsidRDefault="00E544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571508420"/>
      <w:docPartObj>
        <w:docPartGallery w:val="Page Numbers (Top of Page)"/>
        <w:docPartUnique/>
      </w:docPartObj>
    </w:sdtPr>
    <w:sdtEndPr/>
    <w:sdtContent>
      <w:p w:rsidR="00AE342F" w:rsidRDefault="00D45807">
        <w:pPr>
          <w:pStyle w:val="ab"/>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3E5CBA">
          <w:rPr>
            <w:noProof/>
            <w:sz w:val="24"/>
            <w:szCs w:val="24"/>
          </w:rPr>
          <w:t>4</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004"/>
    <w:multiLevelType w:val="hybridMultilevel"/>
    <w:tmpl w:val="E3BAFB78"/>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61C0D"/>
    <w:multiLevelType w:val="multilevel"/>
    <w:tmpl w:val="BD38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E17BA"/>
    <w:multiLevelType w:val="hybridMultilevel"/>
    <w:tmpl w:val="CD8AC1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5E81F12"/>
    <w:multiLevelType w:val="hybridMultilevel"/>
    <w:tmpl w:val="4432A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929FA"/>
    <w:multiLevelType w:val="hybridMultilevel"/>
    <w:tmpl w:val="814EFAEE"/>
    <w:lvl w:ilvl="0" w:tplc="CB54FB54">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6610498"/>
    <w:multiLevelType w:val="hybridMultilevel"/>
    <w:tmpl w:val="3BC2F7D6"/>
    <w:lvl w:ilvl="0" w:tplc="B7E44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504444"/>
    <w:multiLevelType w:val="hybridMultilevel"/>
    <w:tmpl w:val="C69CE400"/>
    <w:lvl w:ilvl="0" w:tplc="7C4E2F6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492A51"/>
    <w:multiLevelType w:val="hybridMultilevel"/>
    <w:tmpl w:val="0728CF3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8A3D5C"/>
    <w:multiLevelType w:val="hybridMultilevel"/>
    <w:tmpl w:val="5EA0A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167DA0"/>
    <w:multiLevelType w:val="hybridMultilevel"/>
    <w:tmpl w:val="60D2AF1C"/>
    <w:lvl w:ilvl="0" w:tplc="E62E0642">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FB62A5"/>
    <w:multiLevelType w:val="multilevel"/>
    <w:tmpl w:val="2CE48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AD37BB"/>
    <w:multiLevelType w:val="multilevel"/>
    <w:tmpl w:val="7520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71F7B"/>
    <w:multiLevelType w:val="multilevel"/>
    <w:tmpl w:val="F6DC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5090F"/>
    <w:multiLevelType w:val="multilevel"/>
    <w:tmpl w:val="7342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
  </w:num>
  <w:num w:numId="4">
    <w:abstractNumId w:val="0"/>
  </w:num>
  <w:num w:numId="5">
    <w:abstractNumId w:val="11"/>
  </w:num>
  <w:num w:numId="6">
    <w:abstractNumId w:val="12"/>
  </w:num>
  <w:num w:numId="7">
    <w:abstractNumId w:val="5"/>
  </w:num>
  <w:num w:numId="8">
    <w:abstractNumId w:val="7"/>
  </w:num>
  <w:num w:numId="9">
    <w:abstractNumId w:val="4"/>
  </w:num>
  <w:num w:numId="10">
    <w:abstractNumId w:val="6"/>
  </w:num>
  <w:num w:numId="11">
    <w:abstractNumId w:val="9"/>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2F"/>
    <w:rsid w:val="00103621"/>
    <w:rsid w:val="00134632"/>
    <w:rsid w:val="00253B5F"/>
    <w:rsid w:val="002B2867"/>
    <w:rsid w:val="003E5CBA"/>
    <w:rsid w:val="00413AC6"/>
    <w:rsid w:val="00463372"/>
    <w:rsid w:val="004738C7"/>
    <w:rsid w:val="00480B4B"/>
    <w:rsid w:val="00487344"/>
    <w:rsid w:val="00575169"/>
    <w:rsid w:val="00621461"/>
    <w:rsid w:val="007D1DF0"/>
    <w:rsid w:val="00941B35"/>
    <w:rsid w:val="009B78F7"/>
    <w:rsid w:val="00A01E42"/>
    <w:rsid w:val="00A723A9"/>
    <w:rsid w:val="00AE342F"/>
    <w:rsid w:val="00B0363C"/>
    <w:rsid w:val="00B91940"/>
    <w:rsid w:val="00BA5E37"/>
    <w:rsid w:val="00D45807"/>
    <w:rsid w:val="00E5447A"/>
    <w:rsid w:val="00EB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C1291-00E5-427A-B660-FC9765EB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Garamond" w:eastAsia="Garamond" w:hAnsi="Garamond" w:cs="Garamond"/>
      <w:b w:val="0"/>
      <w:bCs w:val="0"/>
      <w:i w:val="0"/>
      <w:iCs w:val="0"/>
      <w:smallCaps w:val="0"/>
      <w:strike w:val="0"/>
      <w:sz w:val="28"/>
      <w:szCs w:val="28"/>
      <w:u w:val="none"/>
    </w:rPr>
  </w:style>
  <w:style w:type="character" w:customStyle="1" w:styleId="a6">
    <w:name w:val="Колонтитул"/>
    <w:basedOn w:val="a4"/>
    <w:rPr>
      <w:rFonts w:ascii="Garamond" w:eastAsia="Garamond" w:hAnsi="Garamond" w:cs="Garamond"/>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Garamond" w:eastAsia="Garamond" w:hAnsi="Garamond" w:cs="Garamond"/>
      <w:sz w:val="28"/>
      <w:szCs w:val="28"/>
    </w:rPr>
  </w:style>
  <w:style w:type="paragraph" w:styleId="23">
    <w:name w:val="Body Text 2"/>
    <w:basedOn w:val="a"/>
    <w:link w:val="24"/>
    <w:pPr>
      <w:widowControl/>
      <w:jc w:val="center"/>
    </w:pPr>
    <w:rPr>
      <w:rFonts w:ascii="Times New Roman" w:eastAsia="Times New Roman" w:hAnsi="Times New Roman" w:cs="Times New Roman"/>
      <w:b/>
      <w:bCs/>
      <w:sz w:val="28"/>
      <w:szCs w:val="35"/>
      <w:lang w:bidi="ar-SA"/>
    </w:rPr>
  </w:style>
  <w:style w:type="character" w:customStyle="1" w:styleId="24">
    <w:name w:val="Основной текст 2 Знак"/>
    <w:basedOn w:val="a0"/>
    <w:link w:val="23"/>
    <w:rPr>
      <w:rFonts w:ascii="Times New Roman" w:eastAsia="Times New Roman" w:hAnsi="Times New Roman" w:cs="Times New Roman"/>
      <w:b/>
      <w:bCs/>
      <w:color w:val="000000"/>
      <w:sz w:val="28"/>
      <w:szCs w:val="35"/>
      <w:lang w:bidi="ar-SA"/>
    </w:rPr>
  </w:style>
  <w:style w:type="table" w:styleId="a7">
    <w:name w:val="Table Grid"/>
    <w:basedOn w:val="a1"/>
    <w:uiPriority w:val="39"/>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Pr>
      <w:rFonts w:ascii="Times New Roman" w:eastAsia="Times New Roman" w:hAnsi="Times New Roman" w:cs="Times New Roman"/>
      <w:b/>
      <w:bCs/>
      <w:lang w:bidi="ar-SA"/>
    </w:rPr>
  </w:style>
  <w:style w:type="paragraph" w:customStyle="1" w:styleId="rtejustify">
    <w:name w:val="rtejustify"/>
    <w:basedOn w:val="a"/>
    <w:pPr>
      <w:widowControl/>
      <w:spacing w:before="100" w:beforeAutospacing="1" w:after="100" w:afterAutospacing="1"/>
    </w:pPr>
    <w:rPr>
      <w:rFonts w:ascii="Times New Roman" w:eastAsia="Times New Roman" w:hAnsi="Times New Roman" w:cs="Times New Roman"/>
      <w:color w:val="auto"/>
      <w:lang w:bidi="ar-SA"/>
    </w:rPr>
  </w:style>
  <w:style w:type="paragraph" w:styleId="z-">
    <w:name w:val="HTML Top of Form"/>
    <w:basedOn w:val="a"/>
    <w:next w:val="a"/>
    <w:link w:val="z-0"/>
    <w:hidden/>
    <w:uiPriority w:val="99"/>
    <w:semiHidden/>
    <w:unhideWhenUsed/>
    <w:pPr>
      <w:widowControl/>
      <w:pBdr>
        <w:bottom w:val="single" w:sz="6" w:space="1" w:color="auto"/>
      </w:pBdr>
      <w:jc w:val="center"/>
    </w:pPr>
    <w:rPr>
      <w:rFonts w:ascii="Arial" w:eastAsia="Times New Roman" w:hAnsi="Arial" w:cs="Arial"/>
      <w:vanish/>
      <w:color w:val="auto"/>
      <w:sz w:val="16"/>
      <w:szCs w:val="16"/>
      <w:lang w:bidi="ar-SA"/>
    </w:rPr>
  </w:style>
  <w:style w:type="character" w:customStyle="1" w:styleId="z-0">
    <w:name w:val="z-Начало формы Знак"/>
    <w:basedOn w:val="a0"/>
    <w:link w:val="z-"/>
    <w:uiPriority w:val="99"/>
    <w:semiHidden/>
    <w:rPr>
      <w:rFonts w:ascii="Arial" w:eastAsia="Times New Roman" w:hAnsi="Arial" w:cs="Arial"/>
      <w:vanish/>
      <w:sz w:val="16"/>
      <w:szCs w:val="16"/>
      <w:lang w:bidi="ar-SA"/>
    </w:rPr>
  </w:style>
  <w:style w:type="character" w:customStyle="1" w:styleId="form-required">
    <w:name w:val="form-required"/>
    <w:basedOn w:val="a0"/>
  </w:style>
  <w:style w:type="paragraph" w:styleId="z-1">
    <w:name w:val="HTML Bottom of Form"/>
    <w:basedOn w:val="a"/>
    <w:next w:val="a"/>
    <w:link w:val="z-2"/>
    <w:hidden/>
    <w:uiPriority w:val="99"/>
    <w:semiHidden/>
    <w:unhideWhenUsed/>
    <w:pPr>
      <w:widowControl/>
      <w:pBdr>
        <w:top w:val="single" w:sz="6" w:space="1" w:color="auto"/>
      </w:pBdr>
      <w:jc w:val="center"/>
    </w:pPr>
    <w:rPr>
      <w:rFonts w:ascii="Arial" w:eastAsia="Times New Roman" w:hAnsi="Arial" w:cs="Arial"/>
      <w:vanish/>
      <w:color w:val="auto"/>
      <w:sz w:val="16"/>
      <w:szCs w:val="16"/>
      <w:lang w:bidi="ar-SA"/>
    </w:rPr>
  </w:style>
  <w:style w:type="character" w:customStyle="1" w:styleId="z-2">
    <w:name w:val="z-Конец формы Знак"/>
    <w:basedOn w:val="a0"/>
    <w:link w:val="z-1"/>
    <w:uiPriority w:val="99"/>
    <w:semiHidden/>
    <w:rPr>
      <w:rFonts w:ascii="Arial" w:eastAsia="Times New Roman" w:hAnsi="Arial" w:cs="Arial"/>
      <w:vanish/>
      <w:sz w:val="16"/>
      <w:szCs w:val="16"/>
      <w:lang w:bidi="ar-SA"/>
    </w:rPr>
  </w:style>
  <w:style w:type="paragraph" w:styleId="a8">
    <w:name w:val="Normal (Web)"/>
    <w:basedOn w:val="a"/>
    <w:uiPriority w:val="99"/>
    <w:unhideWhenUsed/>
    <w:pPr>
      <w:widowControl/>
      <w:spacing w:before="240" w:after="240"/>
    </w:pPr>
    <w:rPr>
      <w:rFonts w:ascii="Times New Roman" w:eastAsia="Times New Roman" w:hAnsi="Times New Roman" w:cs="Times New Roman"/>
      <w:color w:val="auto"/>
      <w:lang w:bidi="ar-SA"/>
    </w:rPr>
  </w:style>
  <w:style w:type="paragraph" w:styleId="a9">
    <w:name w:val="List Paragraph"/>
    <w:basedOn w:val="a"/>
    <w:link w:val="aa"/>
    <w:uiPriority w:val="34"/>
    <w:qFormat/>
    <w:pPr>
      <w:widowControl/>
      <w:ind w:left="720"/>
      <w:contextualSpacing/>
    </w:pPr>
    <w:rPr>
      <w:rFonts w:ascii="Times New Roman" w:eastAsia="Times New Roman" w:hAnsi="Times New Roman" w:cs="Times New Roman"/>
      <w:color w:val="auto"/>
      <w:sz w:val="28"/>
      <w:szCs w:val="28"/>
      <w:lang w:bidi="ar-SA"/>
    </w:rPr>
  </w:style>
  <w:style w:type="paragraph" w:customStyle="1" w:styleId="ConsPlusNormal">
    <w:name w:val="ConsPlusNormal"/>
    <w:qFormat/>
    <w:pPr>
      <w:autoSpaceDE w:val="0"/>
      <w:autoSpaceDN w:val="0"/>
    </w:pPr>
    <w:rPr>
      <w:rFonts w:ascii="Calibri" w:eastAsia="Times New Roman" w:hAnsi="Calibri" w:cs="Calibri"/>
      <w:sz w:val="22"/>
      <w:szCs w:val="20"/>
      <w:lang w:bidi="ar-SA"/>
    </w:rPr>
  </w:style>
  <w:style w:type="paragraph" w:styleId="ab">
    <w:name w:val="header"/>
    <w:basedOn w:val="a"/>
    <w:link w:val="ac"/>
    <w:uiPriority w:val="99"/>
    <w:unhideWhenUsed/>
    <w:pPr>
      <w:widowControl/>
      <w:tabs>
        <w:tab w:val="center" w:pos="4677"/>
        <w:tab w:val="right" w:pos="9355"/>
      </w:tabs>
    </w:pPr>
    <w:rPr>
      <w:rFonts w:ascii="Times New Roman" w:eastAsia="Times New Roman" w:hAnsi="Times New Roman" w:cs="Times New Roman"/>
      <w:color w:val="auto"/>
      <w:sz w:val="28"/>
      <w:szCs w:val="28"/>
      <w:lang w:bidi="ar-SA"/>
    </w:rPr>
  </w:style>
  <w:style w:type="character" w:customStyle="1" w:styleId="ac">
    <w:name w:val="Верхний колонтитул Знак"/>
    <w:basedOn w:val="a0"/>
    <w:link w:val="ab"/>
    <w:uiPriority w:val="99"/>
    <w:rPr>
      <w:rFonts w:ascii="Times New Roman" w:eastAsia="Times New Roman" w:hAnsi="Times New Roman" w:cs="Times New Roman"/>
      <w:sz w:val="28"/>
      <w:szCs w:val="28"/>
      <w:lang w:bidi="ar-SA"/>
    </w:rPr>
  </w:style>
  <w:style w:type="paragraph" w:customStyle="1" w:styleId="Default">
    <w:name w:val="Default"/>
    <w:pPr>
      <w:widowControl/>
      <w:autoSpaceDE w:val="0"/>
      <w:autoSpaceDN w:val="0"/>
      <w:adjustRightInd w:val="0"/>
    </w:pPr>
    <w:rPr>
      <w:rFonts w:ascii="Times New Roman" w:hAnsi="Times New Roman" w:cs="Times New Roman"/>
      <w:color w:val="000000"/>
      <w:lang w:bidi="ar-SA"/>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rPr>
      <w:color w:val="000000"/>
    </w:rPr>
  </w:style>
  <w:style w:type="paragraph" w:styleId="af">
    <w:name w:val="Balloon Text"/>
    <w:basedOn w:val="a"/>
    <w:link w:val="af0"/>
    <w:uiPriority w:val="99"/>
    <w:semiHidden/>
    <w:unhideWhenUsed/>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color w:val="000000"/>
      <w:sz w:val="18"/>
      <w:szCs w:val="18"/>
    </w:rPr>
  </w:style>
  <w:style w:type="paragraph" w:customStyle="1" w:styleId="ConsPlusTitle">
    <w:name w:val="ConsPlusTitle"/>
    <w:pPr>
      <w:autoSpaceDE w:val="0"/>
      <w:autoSpaceDN w:val="0"/>
    </w:pPr>
    <w:rPr>
      <w:rFonts w:ascii="Calibri" w:eastAsia="Times New Roman" w:hAnsi="Calibri" w:cs="Calibri"/>
      <w:b/>
      <w:sz w:val="22"/>
      <w:szCs w:val="20"/>
      <w:lang w:bidi="ar-SA"/>
    </w:rPr>
  </w:style>
  <w:style w:type="character" w:customStyle="1" w:styleId="aa">
    <w:name w:val="Абзац списка Знак"/>
    <w:link w:val="a9"/>
    <w:uiPriority w:val="34"/>
    <w:locked/>
    <w:rPr>
      <w:rFonts w:ascii="Times New Roman" w:eastAsia="Times New Roman" w:hAnsi="Times New Roman" w:cs="Times New Roman"/>
      <w:sz w:val="28"/>
      <w:szCs w:val="28"/>
      <w:lang w:bidi="ar-SA"/>
    </w:rPr>
  </w:style>
  <w:style w:type="paragraph" w:styleId="af1">
    <w:name w:val="No Spacing"/>
    <w:uiPriority w:val="1"/>
    <w:qFormat/>
    <w:pPr>
      <w:widowControl/>
    </w:pPr>
    <w:rPr>
      <w:rFonts w:ascii="Calibri" w:eastAsia="Calibri" w:hAnsi="Calibri" w:cs="Times New Roman"/>
      <w:sz w:val="22"/>
      <w:szCs w:val="22"/>
      <w:lang w:eastAsia="en-US" w:bidi="ar-SA"/>
    </w:rPr>
  </w:style>
  <w:style w:type="paragraph" w:styleId="af2">
    <w:name w:val="Body Text Indent"/>
    <w:basedOn w:val="a"/>
    <w:link w:val="af3"/>
    <w:uiPriority w:val="99"/>
    <w:semiHidden/>
    <w:unhideWhenUsed/>
    <w:pPr>
      <w:spacing w:after="120"/>
      <w:ind w:left="283"/>
    </w:pPr>
  </w:style>
  <w:style w:type="character" w:customStyle="1" w:styleId="af3">
    <w:name w:val="Основной текст с отступом Знак"/>
    <w:basedOn w:val="a0"/>
    <w:link w:val="af2"/>
    <w:uiPriority w:val="99"/>
    <w:semiHidden/>
    <w:rPr>
      <w:color w:val="000000"/>
    </w:rPr>
  </w:style>
  <w:style w:type="paragraph" w:customStyle="1" w:styleId="formattext">
    <w:name w:val="formattext"/>
    <w:basedOn w:val="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f4">
    <w:name w:val="Body Text"/>
    <w:basedOn w:val="a"/>
    <w:link w:val="af5"/>
    <w:uiPriority w:val="99"/>
    <w:semiHidden/>
    <w:unhideWhenUsed/>
    <w:pPr>
      <w:spacing w:after="120"/>
    </w:pPr>
  </w:style>
  <w:style w:type="character" w:customStyle="1" w:styleId="af5">
    <w:name w:val="Основной текст Знак"/>
    <w:basedOn w:val="a0"/>
    <w:link w:val="af4"/>
    <w:uiPriority w:val="99"/>
    <w:semiHidden/>
    <w:rPr>
      <w:color w:val="000000"/>
    </w:rPr>
  </w:style>
  <w:style w:type="table" w:customStyle="1" w:styleId="1">
    <w:name w:val="Сетка таблицы1"/>
    <w:basedOn w:val="a1"/>
    <w:next w:val="a7"/>
    <w:uiPriority w:val="3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pPr>
      <w:autoSpaceDE w:val="0"/>
      <w:autoSpaceDN w:val="0"/>
    </w:pPr>
    <w:rPr>
      <w:rFonts w:ascii="Courier New" w:eastAsia="Times New Roman" w:hAnsi="Courier New" w:cs="Courier New"/>
      <w:sz w:val="20"/>
      <w:szCs w:val="20"/>
      <w:lang w:bidi="ar-SA"/>
    </w:rPr>
  </w:style>
  <w:style w:type="character" w:styleId="af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698">
      <w:bodyDiv w:val="1"/>
      <w:marLeft w:val="0"/>
      <w:marRight w:val="0"/>
      <w:marTop w:val="0"/>
      <w:marBottom w:val="0"/>
      <w:divBdr>
        <w:top w:val="none" w:sz="0" w:space="0" w:color="auto"/>
        <w:left w:val="none" w:sz="0" w:space="0" w:color="auto"/>
        <w:bottom w:val="none" w:sz="0" w:space="0" w:color="auto"/>
        <w:right w:val="none" w:sz="0" w:space="0" w:color="auto"/>
      </w:divBdr>
    </w:div>
    <w:div w:id="65149215">
      <w:bodyDiv w:val="1"/>
      <w:marLeft w:val="0"/>
      <w:marRight w:val="0"/>
      <w:marTop w:val="0"/>
      <w:marBottom w:val="0"/>
      <w:divBdr>
        <w:top w:val="none" w:sz="0" w:space="0" w:color="auto"/>
        <w:left w:val="none" w:sz="0" w:space="0" w:color="auto"/>
        <w:bottom w:val="none" w:sz="0" w:space="0" w:color="auto"/>
        <w:right w:val="none" w:sz="0" w:space="0" w:color="auto"/>
      </w:divBdr>
    </w:div>
    <w:div w:id="98334908">
      <w:bodyDiv w:val="1"/>
      <w:marLeft w:val="0"/>
      <w:marRight w:val="0"/>
      <w:marTop w:val="0"/>
      <w:marBottom w:val="0"/>
      <w:divBdr>
        <w:top w:val="none" w:sz="0" w:space="0" w:color="auto"/>
        <w:left w:val="none" w:sz="0" w:space="0" w:color="auto"/>
        <w:bottom w:val="none" w:sz="0" w:space="0" w:color="auto"/>
        <w:right w:val="none" w:sz="0" w:space="0" w:color="auto"/>
      </w:divBdr>
    </w:div>
    <w:div w:id="786773224">
      <w:bodyDiv w:val="1"/>
      <w:marLeft w:val="0"/>
      <w:marRight w:val="0"/>
      <w:marTop w:val="0"/>
      <w:marBottom w:val="0"/>
      <w:divBdr>
        <w:top w:val="none" w:sz="0" w:space="0" w:color="auto"/>
        <w:left w:val="none" w:sz="0" w:space="0" w:color="auto"/>
        <w:bottom w:val="none" w:sz="0" w:space="0" w:color="auto"/>
        <w:right w:val="none" w:sz="0" w:space="0" w:color="auto"/>
      </w:divBdr>
    </w:div>
    <w:div w:id="1210727859">
      <w:bodyDiv w:val="1"/>
      <w:marLeft w:val="0"/>
      <w:marRight w:val="0"/>
      <w:marTop w:val="0"/>
      <w:marBottom w:val="0"/>
      <w:divBdr>
        <w:top w:val="none" w:sz="0" w:space="0" w:color="auto"/>
        <w:left w:val="none" w:sz="0" w:space="0" w:color="auto"/>
        <w:bottom w:val="none" w:sz="0" w:space="0" w:color="auto"/>
        <w:right w:val="none" w:sz="0" w:space="0" w:color="auto"/>
      </w:divBdr>
    </w:div>
    <w:div w:id="1437285187">
      <w:bodyDiv w:val="1"/>
      <w:marLeft w:val="0"/>
      <w:marRight w:val="0"/>
      <w:marTop w:val="0"/>
      <w:marBottom w:val="0"/>
      <w:divBdr>
        <w:top w:val="none" w:sz="0" w:space="0" w:color="auto"/>
        <w:left w:val="none" w:sz="0" w:space="0" w:color="auto"/>
        <w:bottom w:val="none" w:sz="0" w:space="0" w:color="auto"/>
        <w:right w:val="none" w:sz="0" w:space="0" w:color="auto"/>
      </w:divBdr>
    </w:div>
    <w:div w:id="1531454915">
      <w:bodyDiv w:val="1"/>
      <w:marLeft w:val="0"/>
      <w:marRight w:val="0"/>
      <w:marTop w:val="0"/>
      <w:marBottom w:val="0"/>
      <w:divBdr>
        <w:top w:val="none" w:sz="0" w:space="0" w:color="auto"/>
        <w:left w:val="none" w:sz="0" w:space="0" w:color="auto"/>
        <w:bottom w:val="none" w:sz="0" w:space="0" w:color="auto"/>
        <w:right w:val="none" w:sz="0" w:space="0" w:color="auto"/>
      </w:divBdr>
    </w:div>
    <w:div w:id="1740593405">
      <w:bodyDiv w:val="1"/>
      <w:marLeft w:val="0"/>
      <w:marRight w:val="0"/>
      <w:marTop w:val="0"/>
      <w:marBottom w:val="0"/>
      <w:divBdr>
        <w:top w:val="none" w:sz="0" w:space="0" w:color="auto"/>
        <w:left w:val="none" w:sz="0" w:space="0" w:color="auto"/>
        <w:bottom w:val="none" w:sz="0" w:space="0" w:color="auto"/>
        <w:right w:val="none" w:sz="0" w:space="0" w:color="auto"/>
      </w:divBdr>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850874335">
      <w:bodyDiv w:val="1"/>
      <w:marLeft w:val="0"/>
      <w:marRight w:val="0"/>
      <w:marTop w:val="0"/>
      <w:marBottom w:val="0"/>
      <w:divBdr>
        <w:top w:val="none" w:sz="0" w:space="0" w:color="auto"/>
        <w:left w:val="none" w:sz="0" w:space="0" w:color="auto"/>
        <w:bottom w:val="none" w:sz="0" w:space="0" w:color="auto"/>
        <w:right w:val="none" w:sz="0" w:space="0" w:color="auto"/>
      </w:divBdr>
    </w:div>
    <w:div w:id="1899783224">
      <w:bodyDiv w:val="1"/>
      <w:marLeft w:val="0"/>
      <w:marRight w:val="0"/>
      <w:marTop w:val="0"/>
      <w:marBottom w:val="0"/>
      <w:divBdr>
        <w:top w:val="none" w:sz="0" w:space="0" w:color="auto"/>
        <w:left w:val="none" w:sz="0" w:space="0" w:color="auto"/>
        <w:bottom w:val="none" w:sz="0" w:space="0" w:color="auto"/>
        <w:right w:val="none" w:sz="0" w:space="0" w:color="auto"/>
      </w:divBdr>
      <w:divsChild>
        <w:div w:id="1037318745">
          <w:marLeft w:val="0"/>
          <w:marRight w:val="0"/>
          <w:marTop w:val="0"/>
          <w:marBottom w:val="0"/>
          <w:divBdr>
            <w:top w:val="none" w:sz="0" w:space="0" w:color="auto"/>
            <w:left w:val="none" w:sz="0" w:space="0" w:color="auto"/>
            <w:bottom w:val="none" w:sz="0" w:space="0" w:color="auto"/>
            <w:right w:val="none" w:sz="0" w:space="0" w:color="auto"/>
          </w:divBdr>
          <w:divsChild>
            <w:div w:id="1352996241">
              <w:marLeft w:val="0"/>
              <w:marRight w:val="0"/>
              <w:marTop w:val="450"/>
              <w:marBottom w:val="450"/>
              <w:divBdr>
                <w:top w:val="none" w:sz="0" w:space="0" w:color="auto"/>
                <w:left w:val="none" w:sz="0" w:space="0" w:color="auto"/>
                <w:bottom w:val="none" w:sz="0" w:space="0" w:color="auto"/>
                <w:right w:val="none" w:sz="0" w:space="0" w:color="auto"/>
              </w:divBdr>
            </w:div>
            <w:div w:id="2070838193">
              <w:marLeft w:val="0"/>
              <w:marRight w:val="0"/>
              <w:marTop w:val="0"/>
              <w:marBottom w:val="300"/>
              <w:divBdr>
                <w:top w:val="none" w:sz="0" w:space="0" w:color="auto"/>
                <w:left w:val="none" w:sz="0" w:space="0" w:color="auto"/>
                <w:bottom w:val="none" w:sz="0" w:space="0" w:color="auto"/>
                <w:right w:val="none" w:sz="0" w:space="0" w:color="auto"/>
              </w:divBdr>
            </w:div>
            <w:div w:id="523977417">
              <w:marLeft w:val="0"/>
              <w:marRight w:val="0"/>
              <w:marTop w:val="0"/>
              <w:marBottom w:val="300"/>
              <w:divBdr>
                <w:top w:val="none" w:sz="0" w:space="0" w:color="auto"/>
                <w:left w:val="none" w:sz="0" w:space="0" w:color="auto"/>
                <w:bottom w:val="none" w:sz="0" w:space="0" w:color="auto"/>
                <w:right w:val="none" w:sz="0" w:space="0" w:color="auto"/>
              </w:divBdr>
              <w:divsChild>
                <w:div w:id="647367284">
                  <w:marLeft w:val="0"/>
                  <w:marRight w:val="0"/>
                  <w:marTop w:val="0"/>
                  <w:marBottom w:val="0"/>
                  <w:divBdr>
                    <w:top w:val="none" w:sz="0" w:space="0" w:color="auto"/>
                    <w:left w:val="none" w:sz="0" w:space="0" w:color="auto"/>
                    <w:bottom w:val="none" w:sz="0" w:space="0" w:color="auto"/>
                    <w:right w:val="none" w:sz="0" w:space="0" w:color="auto"/>
                  </w:divBdr>
                  <w:divsChild>
                    <w:div w:id="2033912874">
                      <w:marLeft w:val="0"/>
                      <w:marRight w:val="0"/>
                      <w:marTop w:val="0"/>
                      <w:marBottom w:val="0"/>
                      <w:divBdr>
                        <w:top w:val="none" w:sz="0" w:space="0" w:color="auto"/>
                        <w:left w:val="none" w:sz="0" w:space="0" w:color="auto"/>
                        <w:bottom w:val="none" w:sz="0" w:space="0" w:color="auto"/>
                        <w:right w:val="none" w:sz="0" w:space="0" w:color="auto"/>
                      </w:divBdr>
                      <w:divsChild>
                        <w:div w:id="16532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73232">
          <w:marLeft w:val="0"/>
          <w:marRight w:val="0"/>
          <w:marTop w:val="0"/>
          <w:marBottom w:val="0"/>
          <w:divBdr>
            <w:top w:val="none" w:sz="0" w:space="0" w:color="auto"/>
            <w:left w:val="none" w:sz="0" w:space="0" w:color="auto"/>
            <w:bottom w:val="none" w:sz="0" w:space="0" w:color="auto"/>
            <w:right w:val="none" w:sz="0" w:space="0" w:color="auto"/>
          </w:divBdr>
          <w:divsChild>
            <w:div w:id="476188309">
              <w:marLeft w:val="0"/>
              <w:marRight w:val="0"/>
              <w:marTop w:val="0"/>
              <w:marBottom w:val="0"/>
              <w:divBdr>
                <w:top w:val="single" w:sz="6" w:space="15" w:color="EDF1F5"/>
                <w:left w:val="single" w:sz="6" w:space="17" w:color="EDF1F5"/>
                <w:bottom w:val="single" w:sz="6" w:space="17" w:color="EDF1F5"/>
                <w:right w:val="single" w:sz="6" w:space="17" w:color="EDF1F5"/>
              </w:divBdr>
              <w:divsChild>
                <w:div w:id="2078043047">
                  <w:marLeft w:val="0"/>
                  <w:marRight w:val="0"/>
                  <w:marTop w:val="0"/>
                  <w:marBottom w:val="0"/>
                  <w:divBdr>
                    <w:top w:val="none" w:sz="0" w:space="0" w:color="auto"/>
                    <w:left w:val="none" w:sz="0" w:space="0" w:color="auto"/>
                    <w:bottom w:val="none" w:sz="0" w:space="0" w:color="auto"/>
                    <w:right w:val="none" w:sz="0" w:space="0" w:color="auto"/>
                  </w:divBdr>
                  <w:divsChild>
                    <w:div w:id="127162693">
                      <w:marLeft w:val="0"/>
                      <w:marRight w:val="0"/>
                      <w:marTop w:val="270"/>
                      <w:marBottom w:val="270"/>
                      <w:divBdr>
                        <w:top w:val="none" w:sz="0" w:space="0" w:color="auto"/>
                        <w:left w:val="none" w:sz="0" w:space="0" w:color="auto"/>
                        <w:bottom w:val="none" w:sz="0" w:space="0" w:color="auto"/>
                        <w:right w:val="none" w:sz="0" w:space="0" w:color="auto"/>
                      </w:divBdr>
                    </w:div>
                    <w:div w:id="868950622">
                      <w:marLeft w:val="0"/>
                      <w:marRight w:val="0"/>
                      <w:marTop w:val="0"/>
                      <w:marBottom w:val="0"/>
                      <w:divBdr>
                        <w:top w:val="none" w:sz="0" w:space="0" w:color="auto"/>
                        <w:left w:val="none" w:sz="0" w:space="0" w:color="auto"/>
                        <w:bottom w:val="none" w:sz="0" w:space="0" w:color="auto"/>
                        <w:right w:val="none" w:sz="0" w:space="0" w:color="auto"/>
                      </w:divBdr>
                      <w:divsChild>
                        <w:div w:id="1027409868">
                          <w:marLeft w:val="0"/>
                          <w:marRight w:val="0"/>
                          <w:marTop w:val="270"/>
                          <w:marBottom w:val="270"/>
                          <w:divBdr>
                            <w:top w:val="none" w:sz="0" w:space="0" w:color="auto"/>
                            <w:left w:val="none" w:sz="0" w:space="0" w:color="auto"/>
                            <w:bottom w:val="none" w:sz="0" w:space="0" w:color="auto"/>
                            <w:right w:val="none" w:sz="0" w:space="0" w:color="auto"/>
                          </w:divBdr>
                          <w:divsChild>
                            <w:div w:id="16104341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23095297">
              <w:marLeft w:val="0"/>
              <w:marRight w:val="0"/>
              <w:marTop w:val="0"/>
              <w:marBottom w:val="0"/>
              <w:divBdr>
                <w:top w:val="none" w:sz="0" w:space="0" w:color="auto"/>
                <w:left w:val="none" w:sz="0" w:space="0" w:color="auto"/>
                <w:bottom w:val="none" w:sz="0" w:space="0" w:color="auto"/>
                <w:right w:val="none" w:sz="0" w:space="0" w:color="auto"/>
              </w:divBdr>
              <w:divsChild>
                <w:div w:id="1936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chives.nso.ru/sites/archives.nso.ru/wodby_files/files/page_1439/metodrekomendacii_poslednie.pdf" TargetMode="External"/><Relationship Id="rId18" Type="http://schemas.openxmlformats.org/officeDocument/2006/relationships/hyperlink" Target="http://archives.nso.ru/sites/archives.nso.ru/wodby_files/files/page_1439/1.doc" TargetMode="External"/><Relationship Id="rId26" Type="http://schemas.openxmlformats.org/officeDocument/2006/relationships/hyperlink" Target="consultantplus://offline/ref=1B901756AFDF54FE10D40ABFD84763AB8F24523F6171B83F121A7CDCE67057508F7E4999016A902C63CC432B4Ct5c3K" TargetMode="External"/><Relationship Id="rId3" Type="http://schemas.openxmlformats.org/officeDocument/2006/relationships/styles" Target="styles.xml"/><Relationship Id="rId21" Type="http://schemas.openxmlformats.org/officeDocument/2006/relationships/hyperlink" Target="http://archives.nso.ru/sites/archives.nso.ru/wodby_files/files/page_1439/pamyatka_po_likvidirovannym_organizaciyam.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chives.nso.ru/sites/archives.nso.ru/wodby_files/files/page_2444/metodicheskie_rekomendacii_po_novomu_gostu.pdf" TargetMode="External"/><Relationship Id="rId17" Type="http://schemas.openxmlformats.org/officeDocument/2006/relationships/hyperlink" Target="http://archives.nso.ru/sites/archives.nso.ru/wodby_files/files/page_1439/list_pereimenovaniy.doc" TargetMode="External"/><Relationship Id="rId25" Type="http://schemas.openxmlformats.org/officeDocument/2006/relationships/hyperlink" Target="http://archives.nso.ru/sites/archives.nso.ru/wodby_files/files/page_2439/itogi_rasssmotreniya_anket_071221.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s.nso.ru/sites/archives.nso.ru/wodby_files/files/page_1439/tit_list.doc" TargetMode="External"/><Relationship Id="rId20" Type="http://schemas.openxmlformats.org/officeDocument/2006/relationships/hyperlink" Target="http://archives.nso.ru/sites/archives.nso.ru/wodby_files/files/page_1439/metodrek_po_ekspertize_cennosti_po_lichnomu_sostavu.pdf" TargetMode="External"/><Relationship Id="rId29" Type="http://schemas.openxmlformats.org/officeDocument/2006/relationships/hyperlink" Target="consultantplus://offline/ref=1B901756AFDF54FE10D40ABFD84763AB8F24523F6171B83F121A7CDCE67057508F7E4999016A902C63CC432B4Ct5c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s.nso.ru/sites/archives.nso.ru/wodby_files/files/page_2444/metodicheskie_rekomendacii_k_pravilam_arhivov.pdf" TargetMode="External"/><Relationship Id="rId24" Type="http://schemas.openxmlformats.org/officeDocument/2006/relationships/hyperlink" Target="consultantplus://offline/ref=52DB760F2FFD9AD5173C9C8692751FE05842926877EED1DE1DC177B55D706E9013DE91667C95BAEA6A4689DD12Y1c4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rchives.nso.ru/sites/archives.nso.ru/wodby_files/files/page_1439/po_ls.doc" TargetMode="External"/><Relationship Id="rId23" Type="http://schemas.openxmlformats.org/officeDocument/2006/relationships/hyperlink" Target="http://archives.nso.ru/sites/archives.nso.ru/wodby_files/files/page_2444/mr_videodokumenty_2019.docx" TargetMode="External"/><Relationship Id="rId28" Type="http://schemas.openxmlformats.org/officeDocument/2006/relationships/hyperlink" Target="consultantplus://offline/ref=1B901756AFDF54FE10D40ABFD84763AB8F24523F6171B83F121A7CDCE67057508F7E4999016A902C63CC432B4Ct5c3K" TargetMode="External"/><Relationship Id="rId10" Type="http://schemas.openxmlformats.org/officeDocument/2006/relationships/hyperlink" Target="http://archives.nso.ru/page/2439" TargetMode="External"/><Relationship Id="rId19" Type="http://schemas.openxmlformats.org/officeDocument/2006/relationships/hyperlink" Target="http://archives.nso.ru/sites/archives.nso.ru/wodby_files/files/page_1439/sokr.doc" TargetMode="External"/><Relationship Id="rId31" Type="http://schemas.openxmlformats.org/officeDocument/2006/relationships/hyperlink" Target="http://archives.nso.ru/page/2453" TargetMode="External"/><Relationship Id="rId4" Type="http://schemas.openxmlformats.org/officeDocument/2006/relationships/settings" Target="settings.xml"/><Relationship Id="rId9" Type="http://schemas.openxmlformats.org/officeDocument/2006/relationships/hyperlink" Target="http://archives.nso.ru/sites/archives.nso.ru/wodby_files/files/page_1913/metodicheskie_rekomendacii_k_pravilam_2015.pdf" TargetMode="External"/><Relationship Id="rId14" Type="http://schemas.openxmlformats.org/officeDocument/2006/relationships/hyperlink" Target="http://archives.nso.ru/sites/archives.nso.ru/wodby_files/files/page_1439/post_hran.doc" TargetMode="External"/><Relationship Id="rId22" Type="http://schemas.openxmlformats.org/officeDocument/2006/relationships/hyperlink" Target="http://archives.nso.ru/sites/archives.nso.ru/wodby_files/files/page_2444/metodrekomendacii_po_rabote_s_dok_po_lichnomu_sostvu.pdf" TargetMode="External"/><Relationship Id="rId27" Type="http://schemas.openxmlformats.org/officeDocument/2006/relationships/hyperlink" Target="consultantplus://offline/ref=1B901756AFDF54FE10D40ABFD84763AB8F24523F6171B83F121A7CDCE67057508F7E4999016A902C63CC432B4Ct5c3K" TargetMode="External"/><Relationship Id="rId30" Type="http://schemas.openxmlformats.org/officeDocument/2006/relationships/hyperlink" Target="http://archives.nso.ru/sites/archives.nso.ru/wodby_files/files/page_2454/informaciya_4_kvartal_pp.pdf" TargetMode="External"/><Relationship Id="rId8" Type="http://schemas.openxmlformats.org/officeDocument/2006/relationships/hyperlink" Target="http://archives.nso.ru/sites/archives.nso.ru/wodby_files/files/page_2444/metodicheskie_rekomendacii_k_pravilam_arhivo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A48A-19DD-4BAE-B5FC-96FA3413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9974</Words>
  <Characters>56854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Мелешков Ярослав Павлович</dc:creator>
  <cp:lastModifiedBy>Валеева Руфина Элхановна</cp:lastModifiedBy>
  <cp:revision>11</cp:revision>
  <cp:lastPrinted>2023-01-19T08:35:00Z</cp:lastPrinted>
  <dcterms:created xsi:type="dcterms:W3CDTF">2023-01-26T05:37:00Z</dcterms:created>
  <dcterms:modified xsi:type="dcterms:W3CDTF">2023-01-30T02:20:00Z</dcterms:modified>
</cp:coreProperties>
</file>