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2" w:rsidRPr="000876F5" w:rsidRDefault="00A77932" w:rsidP="009D3628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76F5">
        <w:rPr>
          <w:rFonts w:ascii="Times New Roman" w:hAnsi="Times New Roman" w:cs="Times New Roman"/>
          <w:b/>
          <w:sz w:val="32"/>
          <w:szCs w:val="32"/>
        </w:rPr>
        <w:t>Доклад на тему:</w:t>
      </w:r>
      <w:r w:rsidR="009D3628" w:rsidRPr="0008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032" w:rsidRPr="000876F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13BCF" w:rsidRPr="000876F5">
        <w:rPr>
          <w:rFonts w:ascii="Times New Roman" w:hAnsi="Times New Roman" w:cs="Times New Roman"/>
          <w:b/>
          <w:sz w:val="32"/>
          <w:szCs w:val="32"/>
          <w:u w:val="single"/>
        </w:rPr>
        <w:t>Новые нормативные документы в сфере архивного дела</w:t>
      </w:r>
      <w:r w:rsidR="009D3628" w:rsidRPr="000876F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D3628" w:rsidRPr="000876F5" w:rsidRDefault="009D3628" w:rsidP="009D3628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6EEC" w:rsidRPr="000876F5" w:rsidRDefault="00E66EEC" w:rsidP="00621FB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Утверждение нового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</w:p>
    <w:p w:rsidR="00C47A4B" w:rsidRPr="000876F5" w:rsidRDefault="006E3433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Для обеспечения порядка формирования и учета дел в делопроизводстве организации составляется номенклатура дел. </w:t>
      </w:r>
    </w:p>
    <w:p w:rsidR="00C47A4B" w:rsidRPr="000876F5" w:rsidRDefault="006E3433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Номенклатура дел – это систематизированный перечень заголовков (наименований) всех дел, заводимых в организации, с указанием сроков их хранения, оформленный в установленном порядке. Номенклатура дел закрепляет классификацию (группировку) исполненных документов в дела и является основным учетным документом, отражающим состав док</w:t>
      </w:r>
      <w:r w:rsidR="00C7397F" w:rsidRPr="000876F5">
        <w:rPr>
          <w:rFonts w:ascii="Times New Roman" w:hAnsi="Times New Roman" w:cs="Times New Roman"/>
          <w:sz w:val="28"/>
          <w:szCs w:val="28"/>
        </w:rPr>
        <w:t>ументального фонда организации.</w:t>
      </w:r>
    </w:p>
    <w:p w:rsidR="006E3433" w:rsidRPr="000876F5" w:rsidRDefault="006E3433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Номенклатура дел организации разрабатывается на основании типовых или ведомственных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E65032" w:rsidRPr="000876F5" w:rsidRDefault="00E65032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Сроки хранения дел, предусмотренные типовым или ведомственным перечнями, а также другими нормативными правовыми актами являются обязательными для исполнения, переносятся в номенклатуру дел без изменений. </w:t>
      </w:r>
    </w:p>
    <w:p w:rsidR="00C7397F" w:rsidRPr="000876F5" w:rsidRDefault="00D21CF5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Перечнем для определения сроков хранения документов в организациях до 2020 года являлся Перечень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</w:t>
      </w:r>
      <w:r w:rsidR="00C7397F" w:rsidRPr="000876F5">
        <w:rPr>
          <w:rFonts w:ascii="Times New Roman" w:hAnsi="Times New Roman" w:cs="Times New Roman"/>
          <w:sz w:val="28"/>
          <w:szCs w:val="28"/>
        </w:rPr>
        <w:br/>
      </w:r>
      <w:r w:rsidRPr="000876F5">
        <w:rPr>
          <w:rFonts w:ascii="Times New Roman" w:hAnsi="Times New Roman" w:cs="Times New Roman"/>
          <w:sz w:val="28"/>
          <w:szCs w:val="28"/>
        </w:rPr>
        <w:t>от 25.08.2010 № 558. Приказом Министерства культуры Российской Федерации от 17.12.2019 № 1964 этот Перечень отменен.</w:t>
      </w:r>
    </w:p>
    <w:p w:rsidR="006E3433" w:rsidRPr="000876F5" w:rsidRDefault="00D21CF5" w:rsidP="00CB4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Приказом Федерального архивного агентства от 20.12.2019 № 236 утвержден новый </w:t>
      </w:r>
      <w:r w:rsidR="00E66EEC" w:rsidRPr="000876F5">
        <w:rPr>
          <w:rFonts w:ascii="Times New Roman" w:hAnsi="Times New Roman" w:cs="Times New Roman"/>
          <w:sz w:val="28"/>
          <w:szCs w:val="28"/>
        </w:rPr>
        <w:t>«</w:t>
      </w:r>
      <w:r w:rsidRPr="000876F5">
        <w:rPr>
          <w:rFonts w:ascii="Times New Roman" w:hAnsi="Times New Roman" w:cs="Times New Roman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(Зарегистрирован 06.02.2020 № 57449</w:t>
      </w:r>
      <w:r w:rsidR="00C47A4B" w:rsidRPr="000876F5">
        <w:rPr>
          <w:rFonts w:ascii="Times New Roman" w:hAnsi="Times New Roman" w:cs="Times New Roman"/>
          <w:sz w:val="28"/>
          <w:szCs w:val="28"/>
        </w:rPr>
        <w:t>, вступил в силу 18.02.2020</w:t>
      </w:r>
      <w:r w:rsidR="00C7397F" w:rsidRPr="000876F5">
        <w:rPr>
          <w:rFonts w:ascii="Times New Roman" w:hAnsi="Times New Roman" w:cs="Times New Roman"/>
          <w:sz w:val="28"/>
          <w:szCs w:val="28"/>
        </w:rPr>
        <w:t>).</w:t>
      </w:r>
    </w:p>
    <w:p w:rsidR="00E66EEC" w:rsidRPr="000876F5" w:rsidRDefault="003A109B" w:rsidP="007D7C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lastRenderedPageBreak/>
        <w:t xml:space="preserve">С 25.02.2020 действует Инструкция по применению </w:t>
      </w:r>
      <w:r w:rsidR="00C7397F" w:rsidRPr="000876F5"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Pr="000876F5">
        <w:rPr>
          <w:rFonts w:ascii="Times New Roman" w:hAnsi="Times New Roman" w:cs="Times New Roman"/>
          <w:sz w:val="28"/>
          <w:szCs w:val="28"/>
        </w:rPr>
        <w:t xml:space="preserve">Перечня, утвержденная приказом Федерального архивного агентства </w:t>
      </w:r>
      <w:r w:rsidR="00C7397F" w:rsidRPr="000876F5">
        <w:rPr>
          <w:rFonts w:ascii="Times New Roman" w:hAnsi="Times New Roman" w:cs="Times New Roman"/>
          <w:sz w:val="28"/>
          <w:szCs w:val="28"/>
        </w:rPr>
        <w:br/>
      </w:r>
      <w:r w:rsidRPr="000876F5">
        <w:rPr>
          <w:rFonts w:ascii="Times New Roman" w:hAnsi="Times New Roman" w:cs="Times New Roman"/>
          <w:sz w:val="28"/>
          <w:szCs w:val="28"/>
        </w:rPr>
        <w:t>от 20.12.2019 № 237 (зарегистрирован Минюстом России 13.02.2020 № 57488).</w:t>
      </w:r>
    </w:p>
    <w:p w:rsidR="006E3433" w:rsidRPr="000876F5" w:rsidRDefault="00C7397F" w:rsidP="00C7397F">
      <w:pPr>
        <w:shd w:val="clear" w:color="auto" w:fill="FFFFFF"/>
        <w:spacing w:after="12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876F5">
        <w:rPr>
          <w:rFonts w:ascii="Times New Roman" w:hAnsi="Times New Roman" w:cs="Times New Roman"/>
          <w:b/>
          <w:bCs/>
          <w:sz w:val="28"/>
          <w:szCs w:val="28"/>
        </w:rPr>
        <w:t xml:space="preserve">Следует обратить внимание, что </w:t>
      </w:r>
      <w:proofErr w:type="spellStart"/>
      <w:r w:rsidR="006E3433" w:rsidRPr="000876F5">
        <w:rPr>
          <w:rFonts w:ascii="Times New Roman" w:hAnsi="Times New Roman" w:cs="Times New Roman"/>
          <w:b/>
          <w:bCs/>
          <w:sz w:val="28"/>
          <w:szCs w:val="28"/>
        </w:rPr>
        <w:t>Росархив</w:t>
      </w:r>
      <w:proofErr w:type="spellEnd"/>
      <w:r w:rsidR="006E3433" w:rsidRPr="000876F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установил новые сроки хранения кадровых документов</w:t>
      </w:r>
      <w:r w:rsidRPr="000876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EEC" w:rsidRPr="000876F5" w:rsidRDefault="006E3433" w:rsidP="007D7C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Изменения, которые необходимы для специалиста по кадрам.</w:t>
      </w:r>
    </w:p>
    <w:p w:rsidR="006E3433" w:rsidRPr="000876F5" w:rsidRDefault="006E3433" w:rsidP="00CB41C8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876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Каким документам увеличили срок хранения</w:t>
      </w:r>
    </w:p>
    <w:p w:rsidR="006E3433" w:rsidRPr="000876F5" w:rsidRDefault="00707AB4" w:rsidP="00CB41C8">
      <w:pPr>
        <w:shd w:val="clear" w:color="auto" w:fill="FFFFFF"/>
        <w:spacing w:line="276" w:lineRule="auto"/>
        <w:ind w:firstLine="34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Отдельные виды </w:t>
      </w:r>
      <w:r w:rsidR="006E3433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кадровых документов придется хранить дольше, чем </w:t>
      </w:r>
      <w:r w:rsidR="00F33025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было ранее</w:t>
      </w:r>
      <w:r w:rsidR="006E3433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 w:rsidR="006E3433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proofErr w:type="gramEnd"/>
      <w:r w:rsidR="006E3433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E3433" w:rsidRPr="000876F5" w:rsidRDefault="006E3433" w:rsidP="00707AB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график отпусков (по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новому Перечню п. 453 перечня) — хранить три года, а не </w:t>
      </w:r>
      <w:hyperlink r:id="rId5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год</w:t>
        </w:r>
      </w:hyperlink>
      <w:r w:rsidRPr="000876F5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(старый Перечень п. 693)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33025" w:rsidRPr="000876F5" w:rsidRDefault="006E3433" w:rsidP="00707AB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книги, журналы, карточки учета, базы данных отпусков (</w:t>
      </w:r>
      <w:proofErr w:type="spellStart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пп</w:t>
      </w:r>
      <w:proofErr w:type="spellEnd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ж п. 463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 — хранить пять лет вместо </w:t>
      </w:r>
      <w:hyperlink r:id="rId6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трех</w:t>
        </w:r>
      </w:hyperlink>
      <w:r w:rsidRPr="000876F5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(п. 695)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3433" w:rsidRPr="000876F5" w:rsidRDefault="006E3433" w:rsidP="00707AB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Некоторые кадровые документы станут занимать полки не так долго, как </w:t>
      </w:r>
      <w:r w:rsidR="00F33025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раньше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Среди них:</w:t>
      </w:r>
    </w:p>
    <w:p w:rsidR="006E3433" w:rsidRPr="000876F5" w:rsidRDefault="006E3433" w:rsidP="00707AB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документы о дисциплинарных взысканиях (</w:t>
      </w:r>
      <w:proofErr w:type="spellStart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пп</w:t>
      </w:r>
      <w:proofErr w:type="spellEnd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д п. 434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 — хранить три года вместо </w:t>
      </w:r>
      <w:hyperlink r:id="rId7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пяти лет</w:t>
        </w:r>
      </w:hyperlink>
      <w:r w:rsidRPr="000876F5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(п. 19)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E3433" w:rsidRPr="000876F5" w:rsidRDefault="006E3433" w:rsidP="00707AB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заявки о потребности в иностранцах (п. 377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 — хранить год вместо </w:t>
      </w:r>
      <w:hyperlink r:id="rId8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пяти лет</w:t>
        </w:r>
      </w:hyperlink>
      <w:r w:rsidRPr="000876F5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(п.650)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E3433" w:rsidRPr="000876F5" w:rsidRDefault="006E3433" w:rsidP="00707AB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документы о состоянии и мерах по улучшению условий и охраны труда (п. 409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 — хранить пять лет, а не </w:t>
      </w:r>
      <w:hyperlink r:id="rId9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постоянно</w:t>
        </w:r>
      </w:hyperlink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07AB4" w:rsidRPr="000876F5" w:rsidRDefault="006E3433" w:rsidP="00B348DB">
      <w:pPr>
        <w:numPr>
          <w:ilvl w:val="0"/>
          <w:numId w:val="2"/>
        </w:numPr>
        <w:shd w:val="clear" w:color="auto" w:fill="FFFFFF"/>
        <w:tabs>
          <w:tab w:val="clear" w:pos="748"/>
          <w:tab w:val="num" w:pos="42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книги, журналы регистрации, базы данных несчастных случаев на производстве, учета аварий (п. 424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 — хранить 45 лет, а не </w:t>
      </w:r>
      <w:hyperlink r:id="rId10" w:history="1">
        <w:r w:rsidRPr="000876F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постоянно</w:t>
        </w:r>
      </w:hyperlink>
      <w:r w:rsidRPr="000876F5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(п. 606)</w:t>
      </w:r>
      <w:r w:rsidR="00707AB4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3465F" w:rsidRPr="000876F5" w:rsidRDefault="00D3465F" w:rsidP="00D3465F">
      <w:pPr>
        <w:numPr>
          <w:ilvl w:val="0"/>
          <w:numId w:val="2"/>
        </w:numPr>
        <w:shd w:val="clear" w:color="auto" w:fill="FFFFFF"/>
        <w:tabs>
          <w:tab w:val="clear" w:pos="748"/>
          <w:tab w:val="num" w:pos="42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переписка по вопросам приема, перевода на другую работу (перемещения), увольнения работников (п. 455 Перечня) – хранить 3 года, а не 5 лет ЭПК (п. 649);</w:t>
      </w:r>
    </w:p>
    <w:p w:rsidR="00D3465F" w:rsidRPr="000876F5" w:rsidRDefault="004904E9" w:rsidP="00D3465F">
      <w:pPr>
        <w:numPr>
          <w:ilvl w:val="0"/>
          <w:numId w:val="2"/>
        </w:numPr>
        <w:shd w:val="clear" w:color="auto" w:fill="FFFFFF"/>
        <w:tabs>
          <w:tab w:val="clear" w:pos="748"/>
          <w:tab w:val="num" w:pos="42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D3465F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окументы (заявления, анкеты, справки, копии документов, удостоверяющих личность, копии документов о трудовой деятельности, квалификации, образовании) лиц, не принятых на работу (п. 438 Перечня) – 1 год, а не 3 года (п. 663).</w:t>
      </w:r>
    </w:p>
    <w:p w:rsidR="006E3433" w:rsidRPr="000876F5" w:rsidRDefault="00F33025" w:rsidP="00F330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«Личные дела руководителей», «годовые расчеты по страховым взносам» - не включаются с 18.02.2020 в описи дел постоянного хранения.</w:t>
      </w:r>
      <w:r w:rsidR="00B348DB" w:rsidRPr="000876F5">
        <w:rPr>
          <w:rFonts w:ascii="Times New Roman" w:hAnsi="Times New Roman" w:cs="Times New Roman"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</w:rPr>
        <w:t>Указанные позиции подлежат теперь включению в описи дел по личному составу.</w:t>
      </w:r>
    </w:p>
    <w:p w:rsidR="005D458E" w:rsidRPr="000876F5" w:rsidRDefault="005D458E" w:rsidP="00F330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Следует также отметить изменения по срокам:</w:t>
      </w:r>
    </w:p>
    <w:p w:rsidR="0046251D" w:rsidRPr="000876F5" w:rsidRDefault="0046251D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lastRenderedPageBreak/>
        <w:t>Проекты правил, инструкций, регламентов, стандартов, порядков, положений, классификаторов, рекомендац</w:t>
      </w:r>
      <w:r w:rsidR="00F33025" w:rsidRPr="000876F5">
        <w:rPr>
          <w:rFonts w:ascii="Times New Roman" w:hAnsi="Times New Roman" w:cs="Times New Roman"/>
          <w:sz w:val="28"/>
          <w:szCs w:val="28"/>
        </w:rPr>
        <w:t xml:space="preserve">ий, кодексов (профессиональных, </w:t>
      </w:r>
      <w:r w:rsidRPr="000876F5">
        <w:rPr>
          <w:rFonts w:ascii="Times New Roman" w:hAnsi="Times New Roman" w:cs="Times New Roman"/>
          <w:sz w:val="28"/>
          <w:szCs w:val="28"/>
        </w:rPr>
        <w:t xml:space="preserve">межведомственных, корпоративных); документы (заключения, предложения, справки, докладные записки, переписка) по их разработке </w:t>
      </w:r>
      <w:r w:rsidR="005D458E" w:rsidRPr="000876F5">
        <w:rPr>
          <w:rFonts w:ascii="Times New Roman" w:hAnsi="Times New Roman" w:cs="Times New Roman"/>
          <w:sz w:val="28"/>
          <w:szCs w:val="28"/>
        </w:rPr>
        <w:t xml:space="preserve">- </w:t>
      </w:r>
      <w:r w:rsidRPr="000876F5">
        <w:rPr>
          <w:rFonts w:ascii="Times New Roman" w:hAnsi="Times New Roman" w:cs="Times New Roman"/>
          <w:sz w:val="28"/>
          <w:szCs w:val="28"/>
        </w:rPr>
        <w:t xml:space="preserve">согласно ст. 9 нового Перечня </w:t>
      </w:r>
      <w:r w:rsidR="005D458E" w:rsidRPr="000876F5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Pr="000876F5">
        <w:rPr>
          <w:rFonts w:ascii="Times New Roman" w:hAnsi="Times New Roman" w:cs="Times New Roman"/>
          <w:sz w:val="28"/>
          <w:szCs w:val="28"/>
        </w:rPr>
        <w:t>до минования надобности, ранее</w:t>
      </w:r>
      <w:r w:rsidR="005D458E" w:rsidRPr="000876F5">
        <w:rPr>
          <w:rFonts w:ascii="Times New Roman" w:hAnsi="Times New Roman" w:cs="Times New Roman"/>
          <w:sz w:val="28"/>
          <w:szCs w:val="28"/>
        </w:rPr>
        <w:t xml:space="preserve"> срок хранения по</w:t>
      </w:r>
      <w:r w:rsidRPr="000876F5">
        <w:rPr>
          <w:rFonts w:ascii="Times New Roman" w:hAnsi="Times New Roman" w:cs="Times New Roman"/>
          <w:sz w:val="28"/>
          <w:szCs w:val="28"/>
        </w:rPr>
        <w:t xml:space="preserve"> данн</w:t>
      </w:r>
      <w:r w:rsidR="005D458E" w:rsidRPr="000876F5">
        <w:rPr>
          <w:rFonts w:ascii="Times New Roman" w:hAnsi="Times New Roman" w:cs="Times New Roman"/>
          <w:sz w:val="28"/>
          <w:szCs w:val="28"/>
        </w:rPr>
        <w:t>ому</w:t>
      </w:r>
      <w:r w:rsidRPr="000876F5">
        <w:rPr>
          <w:rFonts w:ascii="Times New Roman" w:hAnsi="Times New Roman" w:cs="Times New Roman"/>
          <w:sz w:val="28"/>
          <w:szCs w:val="28"/>
        </w:rPr>
        <w:t xml:space="preserve"> вид</w:t>
      </w:r>
      <w:r w:rsidR="005D458E" w:rsidRPr="000876F5">
        <w:rPr>
          <w:rFonts w:ascii="Times New Roman" w:hAnsi="Times New Roman" w:cs="Times New Roman"/>
          <w:sz w:val="28"/>
          <w:szCs w:val="28"/>
        </w:rPr>
        <w:t>у</w:t>
      </w:r>
      <w:r w:rsidRPr="000876F5">
        <w:rPr>
          <w:rFonts w:ascii="Times New Roman" w:hAnsi="Times New Roman" w:cs="Times New Roman"/>
          <w:sz w:val="28"/>
          <w:szCs w:val="28"/>
        </w:rPr>
        <w:t xml:space="preserve"> документов (ст. 29,</w:t>
      </w:r>
      <w:r w:rsidR="006973A2" w:rsidRPr="000876F5">
        <w:rPr>
          <w:rFonts w:ascii="Times New Roman" w:hAnsi="Times New Roman" w:cs="Times New Roman"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</w:rPr>
        <w:t>30 – 5 лет ЭПК);</w:t>
      </w:r>
    </w:p>
    <w:p w:rsidR="0046251D" w:rsidRPr="000876F5" w:rsidRDefault="0046251D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Проекты уставов, положений; документы (справки, докладные записки, предложения, отзывы, переписка) по их разработке хранятся согласно ст. 35</w:t>
      </w:r>
      <w:r w:rsidR="005D458E" w:rsidRPr="000876F5">
        <w:rPr>
          <w:rFonts w:ascii="Times New Roman" w:hAnsi="Times New Roman" w:cs="Times New Roman"/>
          <w:sz w:val="28"/>
          <w:szCs w:val="28"/>
        </w:rPr>
        <w:t xml:space="preserve"> -</w:t>
      </w:r>
      <w:r w:rsidRPr="000876F5">
        <w:rPr>
          <w:rFonts w:ascii="Times New Roman" w:hAnsi="Times New Roman" w:cs="Times New Roman"/>
          <w:sz w:val="28"/>
          <w:szCs w:val="28"/>
        </w:rPr>
        <w:t xml:space="preserve"> до минования надобности (ранее ст. 58 - 5 лет ЭПК);</w:t>
      </w:r>
    </w:p>
    <w:p w:rsidR="008A141E" w:rsidRPr="000876F5" w:rsidRDefault="002A13C5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Номенклатура должностей - ст. 43 (5 лет (1- после утверждения новой)), ранее</w:t>
      </w:r>
      <w:r w:rsidRPr="000876F5">
        <w:rPr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</w:rPr>
        <w:t>ст. 75 –</w:t>
      </w:r>
      <w:r w:rsidR="006973A2" w:rsidRPr="000876F5">
        <w:rPr>
          <w:rFonts w:ascii="Times New Roman" w:hAnsi="Times New Roman" w:cs="Times New Roman"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</w:rPr>
        <w:t>постоянно и 5 лет (после смены должностного, ответственного и материально ответственного лица);</w:t>
      </w:r>
    </w:p>
    <w:p w:rsidR="002A13C5" w:rsidRPr="000876F5" w:rsidRDefault="000D64F3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- ст. 149 10 лет, ранее 5 лет;</w:t>
      </w:r>
    </w:p>
    <w:p w:rsidR="000D64F3" w:rsidRPr="000876F5" w:rsidRDefault="000D64F3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Годовые планы работы структурных подразделений организации хранятся </w:t>
      </w:r>
      <w:r w:rsidR="00E914D4" w:rsidRPr="000876F5">
        <w:rPr>
          <w:rFonts w:ascii="Times New Roman" w:hAnsi="Times New Roman" w:cs="Times New Roman"/>
          <w:sz w:val="28"/>
          <w:szCs w:val="28"/>
        </w:rPr>
        <w:t>-</w:t>
      </w:r>
      <w:r w:rsidRPr="000876F5">
        <w:rPr>
          <w:rFonts w:ascii="Times New Roman" w:hAnsi="Times New Roman" w:cs="Times New Roman"/>
          <w:sz w:val="28"/>
          <w:szCs w:val="28"/>
        </w:rPr>
        <w:t>1 год (ст. 202), ранее 5 лет;</w:t>
      </w:r>
    </w:p>
    <w:p w:rsidR="00C836B2" w:rsidRPr="000876F5" w:rsidRDefault="00C836B2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 ст. 301 – 50/75 лет, ранее 5 лет;</w:t>
      </w:r>
    </w:p>
    <w:p w:rsidR="0046251D" w:rsidRPr="000876F5" w:rsidRDefault="00B27CDC" w:rsidP="006973A2">
      <w:pPr>
        <w:pStyle w:val="a8"/>
        <w:numPr>
          <w:ilvl w:val="0"/>
          <w:numId w:val="6"/>
        </w:numPr>
        <w:shd w:val="clear" w:color="auto" w:fill="FFFFFF"/>
        <w:spacing w:line="276" w:lineRule="auto"/>
        <w:ind w:left="0" w:firstLine="70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 ст. 425 (45 лет - (1- связанных с крупным материальны</w:t>
      </w:r>
      <w:r w:rsidR="009C56C0" w:rsidRPr="000876F5">
        <w:rPr>
          <w:rFonts w:ascii="Times New Roman" w:hAnsi="Times New Roman" w:cs="Times New Roman"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</w:rPr>
        <w:t>м ущербом и человеческими жертвами – постоянно), 5 лет) ранее 75 лет, постоянно и 5 лет</w:t>
      </w:r>
      <w:r w:rsidR="00E66EEC" w:rsidRPr="000876F5">
        <w:rPr>
          <w:rFonts w:ascii="Times New Roman" w:hAnsi="Times New Roman" w:cs="Times New Roman"/>
          <w:sz w:val="28"/>
          <w:szCs w:val="28"/>
        </w:rPr>
        <w:t>.</w:t>
      </w:r>
    </w:p>
    <w:p w:rsidR="006E3433" w:rsidRPr="000876F5" w:rsidRDefault="006E3433" w:rsidP="00CB41C8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 каких документов установили отдельный срок хранения</w:t>
      </w:r>
    </w:p>
    <w:p w:rsidR="00E66EEC" w:rsidRDefault="006E3433" w:rsidP="004904E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следует учесть новые правила для отдельных видов документов Уведомления, предупреждения работников нужно будет хранить три года (п. 436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еречня). Заявления сотрудников о выдаче документов, связанных с работой, и их копии придется беречь год (п. 451 </w:t>
      </w:r>
      <w:r w:rsidR="00D1002D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6973A2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еречня).</w:t>
      </w:r>
    </w:p>
    <w:p w:rsidR="00CF16AE" w:rsidRPr="008E7BC5" w:rsidRDefault="00CF16AE" w:rsidP="00CF16AE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Следует обратить внимание, что с</w:t>
      </w:r>
      <w:r w:rsidRPr="008E7BC5">
        <w:rPr>
          <w:rFonts w:ascii="Times New Roman" w:hAnsi="Times New Roman" w:cs="Times New Roman"/>
          <w:sz w:val="28"/>
          <w:szCs w:val="28"/>
        </w:rPr>
        <w:t>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делопроизводством. Временные сроки хранения реестров, книг, журналов исчисляются с 1 января года, следующего за годом, в котором было завершено их ведение.</w:t>
      </w:r>
      <w:r w:rsidRPr="008E7BC5">
        <w:rPr>
          <w:rFonts w:ascii="Times New Roman" w:hAnsi="Times New Roman" w:cs="Times New Roman"/>
          <w:sz w:val="28"/>
          <w:szCs w:val="28"/>
        </w:rPr>
        <w:t xml:space="preserve"> При этом с</w:t>
      </w:r>
      <w:r w:rsidRPr="008E7BC5">
        <w:rPr>
          <w:rFonts w:ascii="Times New Roman" w:hAnsi="Times New Roman" w:cs="Times New Roman"/>
          <w:sz w:val="28"/>
          <w:szCs w:val="28"/>
        </w:rPr>
        <w:t>роки хранения документов не зависят от вида носителя и ограничения доступа к ним.</w:t>
      </w:r>
    </w:p>
    <w:p w:rsidR="00CF16AE" w:rsidRPr="008E7BC5" w:rsidRDefault="00CF16AE" w:rsidP="00CF16AE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E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Сроки временного хранения документов (1 год, 3 года, 5 лет, 6 лет, 10 лет, 15 лет, 45 лет, 50 лет и 75 лет), установленные Перечнем, должны соблюдаться всеми организациями независимо от их организационно-правовых форм и форм собственности. После истечения сроков временного хранения документы подлежат уничтожению. Уничтожение документов до истечения сроков их временного хранения запрещается. Нарушение требований о хранении документов влечет за собой ответственность, предусмотренную законодательством Российской Федерации.</w:t>
      </w:r>
    </w:p>
    <w:p w:rsidR="005B4143" w:rsidRPr="008E7BC5" w:rsidRDefault="005B4143" w:rsidP="005B4143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E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 интерпретировать </w:t>
      </w:r>
      <w:r w:rsidR="00CF16AE" w:rsidRPr="008E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сроки, установленные</w:t>
      </w:r>
      <w:r w:rsidRPr="008E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Перечнем.</w:t>
      </w:r>
    </w:p>
    <w:p w:rsidR="005B4143" w:rsidRPr="008E7BC5" w:rsidRDefault="005B4143" w:rsidP="005B4143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Pr="008E7B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E7BC5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8E7BC5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  <w:r w:rsidRPr="008E7BC5">
        <w:rPr>
          <w:rFonts w:ascii="Times New Roman" w:hAnsi="Times New Roman" w:cs="Times New Roman"/>
          <w:sz w:val="28"/>
          <w:szCs w:val="28"/>
        </w:rPr>
        <w:t xml:space="preserve"> означает, что указанные документы, образовавшиеся в деятельности источников комплектования государственных или муниципальных архивов,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организациях: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Pr="008E7BC5">
        <w:rPr>
          <w:rFonts w:ascii="Times New Roman" w:hAnsi="Times New Roman" w:cs="Times New Roman"/>
          <w:sz w:val="28"/>
          <w:szCs w:val="28"/>
        </w:rPr>
        <w:t>«</w:t>
      </w:r>
      <w:r w:rsidRPr="008E7BC5">
        <w:rPr>
          <w:rFonts w:ascii="Times New Roman" w:hAnsi="Times New Roman" w:cs="Times New Roman"/>
          <w:sz w:val="28"/>
          <w:szCs w:val="28"/>
        </w:rPr>
        <w:t>Постоянно</w:t>
      </w:r>
      <w:r w:rsidRPr="008E7BC5">
        <w:rPr>
          <w:rFonts w:ascii="Times New Roman" w:hAnsi="Times New Roman" w:cs="Times New Roman"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 xml:space="preserve"> для документов, образовавшихся в деятельности организаций, не выступающих источниками комплектования государственных или муниципальных архивов, означает, что указанные документы хранятся в организациях не менее 10 лет.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Появился новый срок хранения, ранее не применявшийся в перечнях </w:t>
      </w:r>
      <w:r w:rsidRPr="008E7BC5">
        <w:rPr>
          <w:rFonts w:ascii="Times New Roman" w:hAnsi="Times New Roman" w:cs="Times New Roman"/>
          <w:b/>
          <w:sz w:val="28"/>
          <w:szCs w:val="28"/>
        </w:rPr>
        <w:t>«</w:t>
      </w:r>
      <w:r w:rsidRPr="008E7BC5">
        <w:rPr>
          <w:rFonts w:ascii="Times New Roman" w:hAnsi="Times New Roman" w:cs="Times New Roman"/>
          <w:b/>
          <w:sz w:val="28"/>
          <w:szCs w:val="28"/>
        </w:rPr>
        <w:t>До ликвидации организации</w:t>
      </w:r>
      <w:r w:rsidRPr="008E7BC5">
        <w:rPr>
          <w:rFonts w:ascii="Times New Roman" w:hAnsi="Times New Roman" w:cs="Times New Roman"/>
          <w:b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E7BC5">
        <w:rPr>
          <w:rFonts w:ascii="Times New Roman" w:hAnsi="Times New Roman" w:cs="Times New Roman"/>
          <w:sz w:val="28"/>
          <w:szCs w:val="28"/>
        </w:rPr>
        <w:t>означает, что указанные документы хранятся в организации до ее ликвидации, независимо от того, выступает или не выступает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Российской Федерации.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Pr="008E7BC5">
        <w:rPr>
          <w:rFonts w:ascii="Times New Roman" w:hAnsi="Times New Roman" w:cs="Times New Roman"/>
          <w:b/>
          <w:sz w:val="28"/>
          <w:szCs w:val="28"/>
        </w:rPr>
        <w:t>«</w:t>
      </w:r>
      <w:r w:rsidRPr="008E7BC5">
        <w:rPr>
          <w:rFonts w:ascii="Times New Roman" w:hAnsi="Times New Roman" w:cs="Times New Roman"/>
          <w:b/>
          <w:sz w:val="28"/>
          <w:szCs w:val="28"/>
        </w:rPr>
        <w:t>До минования надобности</w:t>
      </w:r>
      <w:r w:rsidRPr="008E7BC5">
        <w:rPr>
          <w:rFonts w:ascii="Times New Roman" w:hAnsi="Times New Roman" w:cs="Times New Roman"/>
          <w:b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 xml:space="preserve"> означает, что организация сама определяет срок хранения указанных документов, однако этот срок не может быть менее одного года. Срок хранения </w:t>
      </w:r>
      <w:r w:rsidRPr="008E7BC5">
        <w:rPr>
          <w:rFonts w:ascii="Times New Roman" w:hAnsi="Times New Roman" w:cs="Times New Roman"/>
          <w:sz w:val="28"/>
          <w:szCs w:val="28"/>
        </w:rPr>
        <w:t>«</w:t>
      </w:r>
      <w:r w:rsidRPr="008E7BC5">
        <w:rPr>
          <w:rFonts w:ascii="Times New Roman" w:hAnsi="Times New Roman" w:cs="Times New Roman"/>
          <w:sz w:val="28"/>
          <w:szCs w:val="28"/>
        </w:rPr>
        <w:t>До минования надобности</w:t>
      </w:r>
      <w:r w:rsidRPr="008E7BC5">
        <w:rPr>
          <w:rFonts w:ascii="Times New Roman" w:hAnsi="Times New Roman" w:cs="Times New Roman"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 xml:space="preserve"> установлен для таких документов, как проекты локальных нормативных актов организации, документы, присланные для сведения, копии документов.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Pr="008E7BC5">
        <w:rPr>
          <w:rFonts w:ascii="Times New Roman" w:hAnsi="Times New Roman" w:cs="Times New Roman"/>
          <w:b/>
          <w:sz w:val="28"/>
          <w:szCs w:val="28"/>
        </w:rPr>
        <w:t>«</w:t>
      </w:r>
      <w:r w:rsidRPr="008E7BC5">
        <w:rPr>
          <w:rFonts w:ascii="Times New Roman" w:hAnsi="Times New Roman" w:cs="Times New Roman"/>
          <w:b/>
          <w:sz w:val="28"/>
          <w:szCs w:val="28"/>
        </w:rPr>
        <w:t>До замены новыми</w:t>
      </w:r>
      <w:r w:rsidRPr="008E7BC5">
        <w:rPr>
          <w:rFonts w:ascii="Times New Roman" w:hAnsi="Times New Roman" w:cs="Times New Roman"/>
          <w:b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 xml:space="preserve"> применяется, как правило, к копиям нормативных документов, которые присылаются в организацию для использования в работе, и означает, что данные документы хранятся до их отмены и замены новыми.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Pr="008E7BC5">
        <w:rPr>
          <w:rFonts w:ascii="Times New Roman" w:hAnsi="Times New Roman" w:cs="Times New Roman"/>
          <w:b/>
          <w:sz w:val="28"/>
          <w:szCs w:val="28"/>
        </w:rPr>
        <w:t>50/75 лет</w:t>
      </w:r>
      <w:r w:rsidRPr="008E7BC5">
        <w:rPr>
          <w:rFonts w:ascii="Times New Roman" w:hAnsi="Times New Roman" w:cs="Times New Roman"/>
          <w:sz w:val="28"/>
          <w:szCs w:val="28"/>
        </w:rPr>
        <w:t>, установленный для документов по личному составу, означает</w:t>
      </w:r>
      <w:r w:rsidR="008E7BC5" w:rsidRPr="008E7BC5">
        <w:rPr>
          <w:rFonts w:ascii="Times New Roman" w:hAnsi="Times New Roman" w:cs="Times New Roman"/>
          <w:sz w:val="28"/>
          <w:szCs w:val="28"/>
        </w:rPr>
        <w:t xml:space="preserve"> </w:t>
      </w:r>
      <w:r w:rsidRPr="008E7BC5">
        <w:rPr>
          <w:rFonts w:ascii="Times New Roman" w:hAnsi="Times New Roman" w:cs="Times New Roman"/>
          <w:sz w:val="28"/>
          <w:szCs w:val="28"/>
        </w:rPr>
        <w:t>следующее: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lastRenderedPageBreak/>
        <w:t>срок хранения указанных документов, законченных делопроизводством до 1 января 2003 года, составляет 75 лет;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>срок хранения указанных документов, законченных делопроизводством после 1 января 2003 года, составляет 50 лет;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>по истечении данных сроков хранения документы по личному составу, образовавшиеся в процессе деятельности источников комплектования государственных и муниципальных архивов, подлежат экспертизе ценности;</w:t>
      </w:r>
    </w:p>
    <w:p w:rsidR="008E7BC5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  <w:r w:rsidR="000B2EA6" w:rsidRPr="008E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43" w:rsidRPr="008E7BC5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0B2EA6" w:rsidRPr="008E7BC5">
        <w:rPr>
          <w:rFonts w:ascii="Times New Roman" w:hAnsi="Times New Roman" w:cs="Times New Roman"/>
          <w:b/>
          <w:sz w:val="28"/>
          <w:szCs w:val="28"/>
        </w:rPr>
        <w:t>«</w:t>
      </w:r>
      <w:r w:rsidRPr="008E7BC5">
        <w:rPr>
          <w:rFonts w:ascii="Times New Roman" w:hAnsi="Times New Roman" w:cs="Times New Roman"/>
          <w:b/>
          <w:sz w:val="28"/>
          <w:szCs w:val="28"/>
        </w:rPr>
        <w:t>ЭПК</w:t>
      </w:r>
      <w:r w:rsidR="000B2EA6" w:rsidRPr="008E7BC5">
        <w:rPr>
          <w:rFonts w:ascii="Times New Roman" w:hAnsi="Times New Roman" w:cs="Times New Roman"/>
          <w:b/>
          <w:sz w:val="28"/>
          <w:szCs w:val="28"/>
        </w:rPr>
        <w:t>»</w:t>
      </w:r>
      <w:r w:rsidRPr="008E7BC5">
        <w:rPr>
          <w:rFonts w:ascii="Times New Roman" w:hAnsi="Times New Roman" w:cs="Times New Roman"/>
          <w:sz w:val="28"/>
          <w:szCs w:val="28"/>
        </w:rPr>
        <w:t>, проставленная к срокам хранения отдельных видов документов, означает, что указанные документы или часть указанных документов могут быть отобраны на постоянное хранение по результатам экспертизы их ценности.</w:t>
      </w:r>
    </w:p>
    <w:p w:rsidR="005B4143" w:rsidRPr="008E7BC5" w:rsidRDefault="000B2EA6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>Важно, что с</w:t>
      </w:r>
      <w:r w:rsidR="005B4143" w:rsidRPr="008E7BC5">
        <w:rPr>
          <w:rFonts w:ascii="Times New Roman" w:hAnsi="Times New Roman" w:cs="Times New Roman"/>
          <w:sz w:val="28"/>
          <w:szCs w:val="28"/>
        </w:rPr>
        <w:t>нижение сроков хранения, установленных Перечнем, запрещается.</w:t>
      </w:r>
    </w:p>
    <w:p w:rsidR="005B4143" w:rsidRDefault="005B4143" w:rsidP="005B41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C5">
        <w:rPr>
          <w:rFonts w:ascii="Times New Roman" w:hAnsi="Times New Roman" w:cs="Times New Roman"/>
          <w:sz w:val="28"/>
          <w:szCs w:val="28"/>
        </w:rPr>
        <w:t>Организации вправе продлевать сроки временного хранения документов при проведении экспертизы ценности документов. Повышение установленных Перечнем сроков хранения допускается в тех случаях, когда это обусловлено особенностями работы конкретной организации и ее практическими потребностями.</w:t>
      </w:r>
    </w:p>
    <w:p w:rsidR="002117DF" w:rsidRDefault="000876F5" w:rsidP="001035BE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Управлением разработана сравнительная таблица видов документов, с указанием статьи и срока хранения по 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утвержденному</w:t>
      </w:r>
      <w:r w:rsidR="001035BE" w:rsidRPr="00103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приказом Фе</w:t>
      </w:r>
      <w:r w:rsidR="00103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дерального архивного агентства </w:t>
      </w:r>
      <w:r w:rsidR="001035BE" w:rsidRPr="00103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20.12.2019 № 237 (зарегистрирован Минюстом России 13.02.2020 № 57488)</w:t>
      </w:r>
      <w:r w:rsidR="00103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0F66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Переч</w:t>
      </w:r>
      <w:r w:rsidR="004904E9"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ню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хранения, утвержденному приказом Министерства культуры Российской Федерации от 25.08.2010 № 558, размещена на официальном сайте управления государственной архивной службы Новосибирской области в разделе «</w:t>
      </w:r>
      <w:proofErr w:type="gramStart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Главная»/</w:t>
      </w:r>
      <w:proofErr w:type="gramEnd"/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F66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организаций</w:t>
      </w: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»/«Перечни документов».</w:t>
      </w:r>
    </w:p>
    <w:p w:rsidR="004904E9" w:rsidRDefault="004904E9" w:rsidP="004904E9">
      <w:pPr>
        <w:shd w:val="clear" w:color="auto" w:fill="FFFFFF"/>
        <w:spacing w:line="276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904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ГОСТ Р 7.0.97-2016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связи с внедрением в работу организаций информационных систем и систем электронного документооборота и введением в действие нового ГОСТа внесен ряд изменений в реквизиты основных документов, образуемых в деятельности организаций; прописан порядок работы с электронными документами.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876F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0876F5">
        <w:rPr>
          <w:rFonts w:ascii="Times New Roman" w:hAnsi="Times New Roman" w:cs="Times New Roman"/>
          <w:sz w:val="28"/>
          <w:szCs w:val="28"/>
        </w:rPr>
        <w:t xml:space="preserve"> от 08.12.2016 </w:t>
      </w:r>
      <w:r w:rsidR="000B2EA6">
        <w:rPr>
          <w:rFonts w:ascii="Times New Roman" w:hAnsi="Times New Roman" w:cs="Times New Roman"/>
          <w:sz w:val="28"/>
          <w:szCs w:val="28"/>
        </w:rPr>
        <w:t>№</w:t>
      </w:r>
      <w:r w:rsidRPr="000876F5">
        <w:rPr>
          <w:rFonts w:ascii="Times New Roman" w:hAnsi="Times New Roman" w:cs="Times New Roman"/>
          <w:sz w:val="28"/>
          <w:szCs w:val="28"/>
        </w:rPr>
        <w:t xml:space="preserve"> 2004-ст (ред. от 25.05.2017) введён действие с 01.07.2018 Национальный стандарт Российской Федерации ГОСТ Р 7.0.97-2016 «Система стандартов по информации, </w:t>
      </w:r>
      <w:r w:rsidRPr="000876F5">
        <w:rPr>
          <w:rFonts w:ascii="Times New Roman" w:hAnsi="Times New Roman" w:cs="Times New Roman"/>
          <w:bCs/>
          <w:sz w:val="28"/>
          <w:szCs w:val="28"/>
        </w:rPr>
        <w:t>библиотечному и издательскому делу. Организационно-распорядительная документация Требования к оформлению документов», взамен ГОСТ</w:t>
      </w:r>
      <w:r w:rsidRPr="00087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bCs/>
          <w:sz w:val="28"/>
          <w:szCs w:val="28"/>
        </w:rPr>
        <w:t>Р 6.30-2003 (Унифицированные системы документации. Унифицированная система организационно-распорядительной документации. Требования к оформлению документов).</w:t>
      </w:r>
    </w:p>
    <w:p w:rsidR="000B2EA6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B2EA6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Изменения, </w:t>
      </w:r>
      <w:r w:rsidR="000B2EA6" w:rsidRPr="000B2EA6">
        <w:rPr>
          <w:rFonts w:ascii="Times New Roman" w:hAnsi="Times New Roman" w:cs="Times New Roman"/>
          <w:bCs/>
          <w:sz w:val="28"/>
          <w:szCs w:val="28"/>
          <w:highlight w:val="lightGray"/>
        </w:rPr>
        <w:t>на которые следует обратить внимание следующие.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t>Добавление новых реквизитов: «отметка об электронной подписи», «наименование должности лица», «гриф ограничения доступа к документу» с разъяснениями.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t>Внесение уточнений в практически все реквизиты: «дата документа», «адресат», «заголовок к тексту», «текст документа», «отметка о приложении», «отметка об исполнителе», «отметка об исполнении документа» и т.д.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t>Исключен: «идентификатор электронной подписи».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F5">
        <w:rPr>
          <w:rFonts w:ascii="Times New Roman" w:hAnsi="Times New Roman" w:cs="Times New Roman"/>
          <w:b/>
          <w:sz w:val="28"/>
          <w:szCs w:val="28"/>
          <w:u w:val="single"/>
        </w:rPr>
        <w:t>Реквизиты, которые были добавлены: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Реквизит «Отметка об электронной подписи» используется для визуализации электронной подписи получателем документа при обмене 2 электронными документами, подписанными усиленной квалифицированной электронной подписью.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t>Отметка об электронной подписи в соответствии с законодательством Российской Федерации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t>Отметка об электронной подписи может включать изображение герба, эмблемы органа власти (организации), товарного знака (знака обслуживания) организации в соответствии с действующим законодательством.</w:t>
      </w:r>
    </w:p>
    <w:p w:rsidR="004904E9" w:rsidRPr="000876F5" w:rsidRDefault="004904E9" w:rsidP="004904E9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76F5">
        <w:rPr>
          <w:rFonts w:ascii="Times New Roman" w:hAnsi="Times New Roman" w:cs="Times New Roman"/>
          <w:bCs/>
          <w:sz w:val="28"/>
          <w:szCs w:val="28"/>
        </w:rPr>
        <w:lastRenderedPageBreak/>
        <w:t>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носителе, элементы отметки об электронной подписи не должны перекрываться или накладываться друг на друга, а также не</w:t>
      </w:r>
      <w:r w:rsidR="00211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bCs/>
          <w:sz w:val="28"/>
          <w:szCs w:val="28"/>
        </w:rPr>
        <w:t>должны перекрывать элементы текста документа.</w:t>
      </w:r>
      <w:r w:rsidR="002117DF" w:rsidRPr="002117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117DF" w:rsidRPr="000876F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1B9B07" wp14:editId="3F1742F2">
            <wp:extent cx="5808593" cy="2868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12" cy="29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4E9" w:rsidRPr="000876F5" w:rsidRDefault="004904E9" w:rsidP="004904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b/>
          <w:sz w:val="28"/>
          <w:szCs w:val="28"/>
          <w:lang w:eastAsia="ru-RU"/>
        </w:rPr>
        <w:t>Реквизит «наименование должности лица»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– автора документа используется в бланках должностных лиц и располагается под наименованием организации или наименованием территории (края, области, автономной области и др.), если документ издает руководитель органа власти субъекта Российской Федерации, муниципального образования. Наименование должности лица – автора документа указывается в соответствии с наименованием, приведенным в распорядительном документе о назначении на должность.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b/>
          <w:sz w:val="28"/>
          <w:szCs w:val="28"/>
          <w:lang w:eastAsia="ru-RU"/>
        </w:rPr>
        <w:t>Реквизит «гриф ограничения доступа к документу»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грифа ограничения доступа к документу входит ограничительная надпись ("Для служебного пользования", "Конфиденциально", "Коммерческая тайна" или др.), которая может 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дополняться номером экземпляра документа и другими сведениями в соответствии с законодательством Российской Федерации.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Пример – Коммерческая тайна.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Экз. № 2</w:t>
      </w:r>
    </w:p>
    <w:p w:rsidR="004904E9" w:rsidRPr="000876F5" w:rsidRDefault="004904E9" w:rsidP="004904E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6F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Реквизиты, в которые были внесены уточнения:</w:t>
      </w:r>
    </w:p>
    <w:p w:rsidR="004904E9" w:rsidRPr="000876F5" w:rsidRDefault="004904E9" w:rsidP="004904E9">
      <w:pPr>
        <w:pStyle w:val="ConsPlusNormal"/>
        <w:spacing w:line="276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bCs/>
          <w:sz w:val="28"/>
          <w:szCs w:val="28"/>
        </w:rPr>
        <w:t xml:space="preserve">«Дата документа» </w:t>
      </w:r>
      <w:r w:rsidRPr="000876F5">
        <w:rPr>
          <w:rFonts w:ascii="Times New Roman" w:hAnsi="Times New Roman" w:cs="Times New Roman"/>
          <w:sz w:val="28"/>
          <w:szCs w:val="28"/>
        </w:rPr>
        <w:t>записывается в последовательности: день месяца, месяц, год одним из двух способов:</w:t>
      </w:r>
    </w:p>
    <w:p w:rsidR="004904E9" w:rsidRPr="000876F5" w:rsidRDefault="004904E9" w:rsidP="004904E9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арабскими цифрами, разделенными точкой: 05.06.2016;</w:t>
      </w:r>
    </w:p>
    <w:p w:rsidR="004904E9" w:rsidRPr="000876F5" w:rsidRDefault="004904E9" w:rsidP="004904E9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876F5">
        <w:rPr>
          <w:rFonts w:eastAsia="Times New Roman"/>
          <w:sz w:val="28"/>
          <w:szCs w:val="28"/>
          <w:lang w:eastAsia="ru-RU"/>
        </w:rPr>
        <w:t xml:space="preserve">словесно-цифровым способом, </w:t>
      </w:r>
      <w:proofErr w:type="gramStart"/>
      <w:r w:rsidRPr="000876F5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0876F5">
        <w:rPr>
          <w:rFonts w:eastAsia="Times New Roman"/>
          <w:sz w:val="28"/>
          <w:szCs w:val="28"/>
          <w:lang w:eastAsia="ru-RU"/>
        </w:rPr>
        <w:t xml:space="preserve">: </w:t>
      </w:r>
      <w:r w:rsidRPr="000876F5">
        <w:rPr>
          <w:rFonts w:eastAsia="Times New Roman"/>
          <w:sz w:val="28"/>
          <w:szCs w:val="28"/>
          <w:lang w:eastAsia="ru-RU"/>
        </w:rPr>
        <w:br/>
        <w:t>5 июня 2016 г.</w:t>
      </w:r>
    </w:p>
    <w:p w:rsidR="004904E9" w:rsidRPr="000876F5" w:rsidRDefault="004904E9" w:rsidP="004904E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«</w:t>
      </w:r>
      <w:r w:rsidRPr="000876F5">
        <w:rPr>
          <w:rFonts w:ascii="Times New Roman" w:hAnsi="Times New Roman" w:cs="Times New Roman"/>
          <w:i/>
          <w:sz w:val="28"/>
          <w:szCs w:val="28"/>
        </w:rPr>
        <w:t>в последовательности: год, месяц, день месяца» - исключен.</w:t>
      </w:r>
    </w:p>
    <w:p w:rsidR="004904E9" w:rsidRPr="000876F5" w:rsidRDefault="004904E9" w:rsidP="004904E9">
      <w:pPr>
        <w:pStyle w:val="a7"/>
        <w:spacing w:line="276" w:lineRule="auto"/>
        <w:ind w:firstLine="410"/>
        <w:jc w:val="both"/>
        <w:rPr>
          <w:sz w:val="28"/>
          <w:szCs w:val="28"/>
        </w:rPr>
      </w:pPr>
      <w:r w:rsidRPr="000876F5">
        <w:rPr>
          <w:sz w:val="28"/>
          <w:szCs w:val="28"/>
        </w:rPr>
        <w:t xml:space="preserve">Строки реквизита </w:t>
      </w:r>
      <w:r w:rsidRPr="000876F5">
        <w:rPr>
          <w:b/>
          <w:sz w:val="28"/>
          <w:szCs w:val="28"/>
        </w:rPr>
        <w:t>«адресат»</w:t>
      </w:r>
      <w:r w:rsidRPr="000876F5">
        <w:rPr>
          <w:sz w:val="28"/>
          <w:szCs w:val="28"/>
        </w:rPr>
        <w:t xml:space="preserve"> выравниваются по левому краю или </w:t>
      </w:r>
      <w:proofErr w:type="spellStart"/>
      <w:r w:rsidRPr="000876F5">
        <w:rPr>
          <w:sz w:val="28"/>
          <w:szCs w:val="28"/>
        </w:rPr>
        <w:t>центруются</w:t>
      </w:r>
      <w:proofErr w:type="spellEnd"/>
      <w:r w:rsidRPr="000876F5">
        <w:rPr>
          <w:sz w:val="28"/>
          <w:szCs w:val="28"/>
        </w:rPr>
        <w:t xml:space="preserve"> относительно самой длинной строки.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876F5">
        <w:rPr>
          <w:rFonts w:ascii="Times New Roman" w:hAnsi="Times New Roman" w:cs="Times New Roman"/>
          <w:sz w:val="28"/>
          <w:szCs w:val="28"/>
          <w:lang w:eastAsia="ru-RU"/>
        </w:rPr>
        <w:t>адресовании</w:t>
      </w:r>
      <w:proofErr w:type="spellEnd"/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и фамилия, инициалы должностного лица.</w:t>
      </w:r>
    </w:p>
    <w:p w:rsidR="004904E9" w:rsidRPr="000876F5" w:rsidRDefault="004904E9" w:rsidP="004904E9">
      <w:pPr>
        <w:pStyle w:val="a7"/>
        <w:spacing w:line="276" w:lineRule="auto"/>
        <w:rPr>
          <w:sz w:val="28"/>
          <w:szCs w:val="28"/>
        </w:rPr>
      </w:pPr>
      <w:r w:rsidRPr="000876F5">
        <w:rPr>
          <w:sz w:val="28"/>
          <w:szCs w:val="28"/>
        </w:rPr>
        <w:t xml:space="preserve">Пример – </w:t>
      </w:r>
    </w:p>
    <w:p w:rsidR="004904E9" w:rsidRPr="000876F5" w:rsidRDefault="004904E9" w:rsidP="004904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876F5">
        <w:rPr>
          <w:rFonts w:ascii="Times New Roman" w:hAnsi="Times New Roman" w:cs="Times New Roman"/>
          <w:sz w:val="28"/>
          <w:szCs w:val="28"/>
        </w:rPr>
        <w:t>Руководителю Федерального</w:t>
      </w:r>
    </w:p>
    <w:p w:rsidR="004904E9" w:rsidRPr="000876F5" w:rsidRDefault="004904E9" w:rsidP="004904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архивного агентства</w:t>
      </w:r>
    </w:p>
    <w:p w:rsidR="004904E9" w:rsidRPr="000876F5" w:rsidRDefault="004904E9" w:rsidP="004904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876F5">
        <w:rPr>
          <w:rFonts w:ascii="Times New Roman" w:hAnsi="Times New Roman" w:cs="Times New Roman"/>
          <w:sz w:val="28"/>
          <w:szCs w:val="28"/>
        </w:rPr>
        <w:t>Артизову</w:t>
      </w:r>
      <w:proofErr w:type="spellEnd"/>
      <w:r w:rsidRPr="000876F5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904E9" w:rsidRPr="000876F5" w:rsidRDefault="004904E9" w:rsidP="004904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женщина.</w:t>
      </w:r>
    </w:p>
    <w:p w:rsidR="004904E9" w:rsidRPr="000876F5" w:rsidRDefault="004904E9" w:rsidP="004904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Примеры:</w:t>
      </w:r>
    </w:p>
    <w:p w:rsidR="004904E9" w:rsidRPr="000876F5" w:rsidRDefault="004904E9" w:rsidP="004904E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1         г-ну Фамилия И.О.</w:t>
      </w:r>
    </w:p>
    <w:p w:rsidR="004904E9" w:rsidRPr="000876F5" w:rsidRDefault="004904E9" w:rsidP="004904E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2         г-же Фамилия И.О.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В состав реквизита «Адресат» может входить почтовый адрес.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4904E9" w:rsidRPr="000876F5" w:rsidRDefault="004904E9" w:rsidP="004904E9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4904E9" w:rsidRPr="000876F5" w:rsidRDefault="004904E9" w:rsidP="004904E9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–</w:t>
      </w:r>
    </w:p>
    <w:p w:rsidR="004904E9" w:rsidRPr="000876F5" w:rsidRDefault="004904E9" w:rsidP="004904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научно-</w:t>
      </w:r>
    </w:p>
    <w:p w:rsidR="004904E9" w:rsidRPr="000876F5" w:rsidRDefault="004904E9" w:rsidP="004904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институт</w:t>
      </w:r>
    </w:p>
    <w:p w:rsidR="004904E9" w:rsidRPr="000876F5" w:rsidRDefault="004904E9" w:rsidP="004904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документоведения и архивного дела</w:t>
      </w:r>
    </w:p>
    <w:p w:rsidR="004904E9" w:rsidRPr="000876F5" w:rsidRDefault="008E7BC5" w:rsidP="004904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904E9" w:rsidRPr="000876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mail@vniidad.ru</w:t>
        </w:r>
      </w:hyperlink>
    </w:p>
    <w:p w:rsidR="004904E9" w:rsidRPr="000876F5" w:rsidRDefault="004904E9" w:rsidP="004904E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При утверждении документа распорядительным документом </w:t>
      </w:r>
      <w:r w:rsidRPr="000876F5">
        <w:rPr>
          <w:rFonts w:ascii="Times New Roman" w:hAnsi="Times New Roman" w:cs="Times New Roman"/>
          <w:b/>
          <w:sz w:val="28"/>
          <w:szCs w:val="28"/>
        </w:rPr>
        <w:t>«Гриф утверждения»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состоит из слова УТВЕРЖДЕН (УТВЕРЖДЕНА, УТВЕРЖДЕНЫ или УТВЕРЖДЕНО), согласованного с наименованием вида утверждаемого документа, наименования распорядительного документа в творительном падеже, его даты, номера.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Пример: (Регламент) – 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УТВЕРЖДЕН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   приказом АО «Профиль»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   от 5 апреля 2015 г. № 82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Пример: (Положение) –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  УТВЕРЖДЕНО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Советом директоров АО «Профиль»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                          (протокол от 12.12.2015 № 12)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«Заголовок к тексту»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оформляется под реквизитами бланка слева, от границы левого поля.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указах, постановлениях, решениях, приказах, издаваемых органами власти, заголовок к тексту может оформляться над текстом посередине рабочего поля документа и центрируется относительно самой длинной строки.</w:t>
      </w:r>
    </w:p>
    <w:p w:rsidR="004904E9" w:rsidRPr="000876F5" w:rsidRDefault="004904E9" w:rsidP="00490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Заголовок к тексту может не составляться, если текст документа не превышает 4 - 5 строк.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«Текст документа»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lastRenderedPageBreak/>
        <w:t>При употреблении в тексте фамилий лиц инициалы указываются после фамилии.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деловых (служебных) письмах могут использоваться: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- вступительное обращение: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Уважаемый господин Губернатор!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Уважаемая госпожа Петрова!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Уважаемый Иван Михайлович!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- заключительная этикетная фраза: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С уважением, ...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Исключено: «Тексты документов оформляют в виде анкеты, таблицы, связного текста или в виде соединения этих структур и дальнейшее описание их содержания и оформления.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«Отметка о приложении»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содержит сведения о документе (документах), прилагаемом к основному документу (в сопроводительных письмах, претензиях, актах, справках и других информационно-справочных документах)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Если приложением является обособленный электронный носитель (компакт-диск, </w:t>
      </w:r>
      <w:proofErr w:type="spellStart"/>
      <w:r w:rsidRPr="000876F5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0876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76F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876F5">
        <w:rPr>
          <w:rFonts w:ascii="Times New Roman" w:hAnsi="Times New Roman" w:cs="Times New Roman"/>
          <w:sz w:val="28"/>
          <w:szCs w:val="28"/>
        </w:rPr>
        <w:t>-накопитель и др.):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Пример –</w:t>
      </w:r>
    </w:p>
    <w:p w:rsidR="004904E9" w:rsidRPr="000876F5" w:rsidRDefault="004904E9" w:rsidP="00490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 xml:space="preserve">          Приложение: CD в 1 экз.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В распорядительных документах (постановлениях, решениях, 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lastRenderedPageBreak/>
        <w:t>- в тексте документа при первом упоминании документа-приложения в скобках указывается: ... (приложение) или ... (приложение 1); перед номером приложения допускается ставить знак номера: ... (приложение № 2);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Пример –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УТВЕРЖДЕНО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приказом АО «Лепесток»</w:t>
      </w:r>
    </w:p>
    <w:p w:rsidR="004904E9" w:rsidRPr="000876F5" w:rsidRDefault="004904E9" w:rsidP="004904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от 17.08.2014 № 68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Исключено: «Если приложение направляют не во все указанные в документе адреса, то отметку о его наличии оформляют следующим образом: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Приложение: на 3 л. в 5 экз. только в первый адрес.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Исключено: «Допускается выражение «ПРИЛОЖЕНИЕ №» печатать прописными буквами, …».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«Гриф согласования»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в зависимости от вида документа и особенностей его оформления может проставляться: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- на первом листе документа (если документ имеет титульный лист, – на титульном листе) в левом верхнем углу на уровне грифа утверждения или под наименованием документа ближе к нижнему полю);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- на последнем листе документа под текстом;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- на листе согласования, являющемся неотъемлемой частью документа.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Если согласование осуществляется коллегиальным органом, в грифе согласования указывают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 вид документа, организацию - автора документа, дату и номер письма.</w:t>
      </w:r>
    </w:p>
    <w:p w:rsidR="004904E9" w:rsidRPr="000876F5" w:rsidRDefault="004904E9" w:rsidP="004904E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</w:rPr>
        <w:t>Примеры: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04E9" w:rsidRPr="000876F5" w:rsidTr="00AF42FE">
        <w:tc>
          <w:tcPr>
            <w:tcW w:w="4672" w:type="dxa"/>
          </w:tcPr>
          <w:p w:rsidR="004904E9" w:rsidRPr="000876F5" w:rsidRDefault="004904E9" w:rsidP="00AF42FE">
            <w:pPr>
              <w:spacing w:after="160" w:line="276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        СОГЛАСОВАНО</w:t>
            </w:r>
          </w:p>
          <w:p w:rsidR="004904E9" w:rsidRPr="000876F5" w:rsidRDefault="004904E9" w:rsidP="00AF42FE">
            <w:pPr>
              <w:spacing w:after="160" w:line="276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 xml:space="preserve">            письмом </w:t>
            </w:r>
            <w:proofErr w:type="spellStart"/>
            <w:r w:rsidRPr="000876F5">
              <w:rPr>
                <w:rFonts w:ascii="Times New Roman" w:hAnsi="Times New Roman" w:cs="Times New Roman"/>
                <w:sz w:val="28"/>
                <w:szCs w:val="28"/>
              </w:rPr>
              <w:t>Росархива</w:t>
            </w:r>
            <w:proofErr w:type="spellEnd"/>
          </w:p>
          <w:p w:rsidR="004904E9" w:rsidRPr="000876F5" w:rsidRDefault="004904E9" w:rsidP="00AF42FE">
            <w:pPr>
              <w:spacing w:after="160"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 xml:space="preserve">            от _________ № __</w:t>
            </w:r>
          </w:p>
          <w:p w:rsidR="004904E9" w:rsidRPr="000876F5" w:rsidRDefault="004904E9" w:rsidP="00AF4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04E9" w:rsidRPr="000876F5" w:rsidRDefault="004904E9" w:rsidP="00AF42F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>2           СОГЛАСОВАНО</w:t>
            </w:r>
          </w:p>
          <w:p w:rsidR="004904E9" w:rsidRPr="000876F5" w:rsidRDefault="004904E9" w:rsidP="00AF42F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 xml:space="preserve">             Советом директоров</w:t>
            </w:r>
          </w:p>
          <w:p w:rsidR="004904E9" w:rsidRPr="000876F5" w:rsidRDefault="004904E9" w:rsidP="00AF42FE">
            <w:pPr>
              <w:spacing w:after="160" w:line="276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 xml:space="preserve">             АО «Профиль»</w:t>
            </w:r>
          </w:p>
          <w:p w:rsidR="004904E9" w:rsidRPr="000876F5" w:rsidRDefault="004904E9" w:rsidP="00AF42FE">
            <w:pPr>
              <w:spacing w:after="160" w:line="276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sz w:val="28"/>
                <w:szCs w:val="28"/>
              </w:rPr>
              <w:t xml:space="preserve">             (протокол от _______ № __)</w:t>
            </w:r>
          </w:p>
        </w:tc>
      </w:tr>
    </w:tbl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6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«Виза» </w:t>
      </w:r>
      <w:r w:rsidRPr="000876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свидетельствует о согласии или несогласии должностного лица (работника) с содержанием проекта документа. Визой оформляется внутреннее согласование документа.</w:t>
      </w:r>
    </w:p>
    <w:p w:rsidR="004904E9" w:rsidRPr="000876F5" w:rsidRDefault="004904E9" w:rsidP="004904E9">
      <w:pPr>
        <w:widowControl w:val="0"/>
        <w:autoSpaceDE w:val="0"/>
        <w:autoSpaceDN w:val="0"/>
        <w:spacing w:before="2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применяющих системы электронного документооборота, согласование может проводиться в электронной форме, согласно </w:t>
      </w:r>
      <w:hyperlink r:id="rId13" w:history="1">
        <w:r w:rsidRPr="00087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ИСО 15489-1</w:t>
        </w:r>
      </w:hyperlink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4E9" w:rsidRPr="000876F5" w:rsidRDefault="004904E9" w:rsidP="004904E9">
      <w:pPr>
        <w:widowControl w:val="0"/>
        <w:autoSpaceDE w:val="0"/>
        <w:autoSpaceDN w:val="0"/>
        <w:spacing w:before="2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4904E9" w:rsidRPr="000876F5" w:rsidRDefault="004904E9" w:rsidP="004904E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6F5">
        <w:rPr>
          <w:rFonts w:ascii="Times New Roman" w:eastAsia="Calibri" w:hAnsi="Times New Roman" w:cs="Times New Roman"/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6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«Печать»</w:t>
      </w:r>
      <w:r w:rsidRPr="000876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b/>
          <w:sz w:val="28"/>
          <w:szCs w:val="28"/>
        </w:rPr>
        <w:t>«Отметка об исполнителе»</w:t>
      </w:r>
      <w:r w:rsidRPr="000876F5">
        <w:rPr>
          <w:rFonts w:ascii="Times New Roman" w:hAnsi="Times New Roman" w:cs="Times New Roman"/>
          <w:sz w:val="28"/>
          <w:szCs w:val="28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включает фамилию, имя и отчество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76F5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Ивкин Иван Иванович, Контрольное управление, ведущий специалист, +7(383) 225-18-71, </w:t>
      </w:r>
      <w:hyperlink r:id="rId14" w:history="1">
        <w:r w:rsidRPr="000876F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Ivk</w:t>
        </w:r>
        <w:r w:rsidRPr="000876F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in@gov.ru</w:t>
        </w:r>
      </w:hyperlink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Отметка об исполнителе может оформляться как нижний колонтитул и печататься шрифтом меньшего размера.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«Отметка о </w:t>
      </w:r>
      <w:r w:rsidRPr="000876F5">
        <w:rPr>
          <w:rFonts w:ascii="Times New Roman" w:hAnsi="Times New Roman" w:cs="Times New Roman"/>
          <w:b/>
          <w:sz w:val="28"/>
          <w:szCs w:val="28"/>
        </w:rPr>
        <w:t>заверении копии».</w:t>
      </w:r>
      <w:r w:rsidRPr="000876F5">
        <w:rPr>
          <w:b/>
          <w:szCs w:val="24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Если копия выдается для представления в другую организацию, отметка о заверении копии дополняется надписью о месте хранения документа, с которого была изготовлена копия («Подлинник документа находится в (наименование организации) в деле № ... за ... год») и заверяется печатью организации.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проставления отметки о заверении копии может использоваться штамп.</w:t>
      </w:r>
    </w:p>
    <w:p w:rsidR="004904E9" w:rsidRPr="000876F5" w:rsidRDefault="004904E9" w:rsidP="004904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«Отметка о контроле»</w:t>
      </w:r>
      <w:r w:rsidRPr="0008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постановке документа на контроль, проставляется штампом «Контроль» на верхнем поле документа.</w:t>
      </w:r>
    </w:p>
    <w:p w:rsidR="004904E9" w:rsidRPr="000876F5" w:rsidRDefault="004904E9" w:rsidP="004904E9">
      <w:pPr>
        <w:pStyle w:val="a7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76F5">
        <w:rPr>
          <w:rFonts w:eastAsia="Times New Roman"/>
          <w:b/>
          <w:sz w:val="28"/>
          <w:szCs w:val="28"/>
          <w:lang w:eastAsia="ru-RU"/>
        </w:rPr>
        <w:t xml:space="preserve">«Отметка о направлении документа в дело» </w:t>
      </w:r>
      <w:r w:rsidRPr="000876F5">
        <w:rPr>
          <w:rFonts w:eastAsia="Times New Roman"/>
          <w:sz w:val="28"/>
          <w:szCs w:val="28"/>
          <w:lang w:eastAsia="ru-RU"/>
        </w:rPr>
        <w:t>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Пример –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 дело № 01-217 за 2019 г.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Зав. отделом корпоративных проектов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Подпись          Дата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обратить внимание, что для изготовления бланков документов, согласно </w:t>
      </w:r>
      <w:hyperlink r:id="rId15" w:history="1">
        <w:r w:rsidRPr="000876F5">
          <w:rPr>
            <w:rFonts w:ascii="Times New Roman" w:hAnsi="Times New Roman" w:cs="Times New Roman"/>
            <w:sz w:val="28"/>
            <w:szCs w:val="28"/>
            <w:lang w:eastAsia="ru-RU"/>
          </w:rPr>
          <w:t>ГОСТ Р 7.0.8</w:t>
        </w:r>
      </w:hyperlink>
      <w:r w:rsidRPr="000876F5">
        <w:rPr>
          <w:rFonts w:ascii="Times New Roman" w:hAnsi="Times New Roman" w:cs="Times New Roman"/>
          <w:sz w:val="28"/>
          <w:szCs w:val="28"/>
          <w:lang w:eastAsia="ru-RU"/>
        </w:rPr>
        <w:t>, используется бумага форматов A4 (210 x 297 мм), A5 (148 x 210 мм); для изготовления бланков резолюций используется бумага форматов A5 (148 x 210 мм), A6 (105 x 148).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 длительных (свыше 10 лет) сроков хранения должны иметь левое поле не менее 30 мм.</w:t>
      </w:r>
    </w:p>
    <w:p w:rsidR="004904E9" w:rsidRPr="000876F5" w:rsidRDefault="004904E9" w:rsidP="004904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Бланки на бумажном носителе и электронные шаблоны бланков должны быть идентичны по составу реквизитов, порядку их расположения, гарнитурам шрифта.</w:t>
      </w:r>
    </w:p>
    <w:p w:rsidR="000B2EA6" w:rsidRDefault="004904E9" w:rsidP="000B2E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6F5">
        <w:rPr>
          <w:rFonts w:ascii="Times New Roman" w:hAnsi="Times New Roman" w:cs="Times New Roman"/>
          <w:sz w:val="28"/>
          <w:szCs w:val="28"/>
          <w:lang w:eastAsia="ru-RU"/>
        </w:rPr>
        <w:t>Управлением разработана сравнительная таблица по основным положениям ГОСТ Р 7.0.97-</w:t>
      </w:r>
      <w:r w:rsidR="003B1549" w:rsidRPr="000876F5">
        <w:rPr>
          <w:rFonts w:ascii="Times New Roman" w:hAnsi="Times New Roman" w:cs="Times New Roman"/>
          <w:sz w:val="28"/>
          <w:szCs w:val="28"/>
          <w:lang w:eastAsia="ru-RU"/>
        </w:rPr>
        <w:t>2016 и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ГОСТ Р 6.30-2003, </w:t>
      </w:r>
      <w:r w:rsidR="003B1549" w:rsidRPr="000876F5">
        <w:rPr>
          <w:rFonts w:ascii="Times New Roman" w:hAnsi="Times New Roman" w:cs="Times New Roman"/>
          <w:sz w:val="28"/>
          <w:szCs w:val="28"/>
          <w:lang w:eastAsia="ru-RU"/>
        </w:rPr>
        <w:t>которая размещена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государственной архивной службы Новосибирской области</w:t>
      </w:r>
      <w:r w:rsidR="003B1549" w:rsidRPr="003B1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в разделе</w:t>
      </w:r>
      <w:r w:rsidR="003B1549" w:rsidRPr="003B1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B1549">
        <w:rPr>
          <w:rFonts w:ascii="Times New Roman" w:hAnsi="Times New Roman" w:cs="Times New Roman"/>
          <w:sz w:val="28"/>
          <w:szCs w:val="28"/>
          <w:lang w:eastAsia="ru-RU"/>
        </w:rPr>
        <w:t>Главная»/</w:t>
      </w:r>
      <w:proofErr w:type="gramEnd"/>
      <w:r w:rsidR="003B1549" w:rsidRPr="000876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660B">
        <w:rPr>
          <w:rFonts w:ascii="Times New Roman" w:hAnsi="Times New Roman" w:cs="Times New Roman"/>
          <w:sz w:val="28"/>
          <w:szCs w:val="28"/>
          <w:lang w:eastAsia="ru-RU"/>
        </w:rPr>
        <w:t>Для организаций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»/«</w:t>
      </w:r>
      <w:r w:rsidR="000F660B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876F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66EEC" w:rsidRPr="00E66EEC" w:rsidRDefault="00E66EEC" w:rsidP="000B2E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7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</w:t>
      </w:r>
    </w:p>
    <w:sectPr w:rsidR="00E66EEC" w:rsidRPr="00E6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300C"/>
    <w:multiLevelType w:val="hybridMultilevel"/>
    <w:tmpl w:val="8604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A734324"/>
    <w:multiLevelType w:val="hybridMultilevel"/>
    <w:tmpl w:val="7BA4D644"/>
    <w:lvl w:ilvl="0" w:tplc="46687E3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228E"/>
    <w:multiLevelType w:val="hybridMultilevel"/>
    <w:tmpl w:val="D004E2F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1694FD8"/>
    <w:multiLevelType w:val="hybridMultilevel"/>
    <w:tmpl w:val="AA3426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EB141CF"/>
    <w:multiLevelType w:val="multilevel"/>
    <w:tmpl w:val="DCF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E0604"/>
    <w:multiLevelType w:val="multilevel"/>
    <w:tmpl w:val="DE2E0430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5"/>
    <w:rsid w:val="00013BCF"/>
    <w:rsid w:val="000649F2"/>
    <w:rsid w:val="00084788"/>
    <w:rsid w:val="000876F5"/>
    <w:rsid w:val="000A621B"/>
    <w:rsid w:val="000B2EA6"/>
    <w:rsid w:val="000D64F3"/>
    <w:rsid w:val="000F660B"/>
    <w:rsid w:val="001035BE"/>
    <w:rsid w:val="001600A9"/>
    <w:rsid w:val="001E2FA2"/>
    <w:rsid w:val="002117DF"/>
    <w:rsid w:val="0022711C"/>
    <w:rsid w:val="00261201"/>
    <w:rsid w:val="002A13C5"/>
    <w:rsid w:val="002F398E"/>
    <w:rsid w:val="00333A28"/>
    <w:rsid w:val="00345A96"/>
    <w:rsid w:val="003A109B"/>
    <w:rsid w:val="003B1549"/>
    <w:rsid w:val="003C16FC"/>
    <w:rsid w:val="003D2C0A"/>
    <w:rsid w:val="003D2DC0"/>
    <w:rsid w:val="003F6C63"/>
    <w:rsid w:val="00414374"/>
    <w:rsid w:val="0046251D"/>
    <w:rsid w:val="004904E9"/>
    <w:rsid w:val="0049217E"/>
    <w:rsid w:val="005339AE"/>
    <w:rsid w:val="005360A4"/>
    <w:rsid w:val="00597BEC"/>
    <w:rsid w:val="005B4143"/>
    <w:rsid w:val="005B6EA3"/>
    <w:rsid w:val="005D458E"/>
    <w:rsid w:val="00621BB4"/>
    <w:rsid w:val="00621FBD"/>
    <w:rsid w:val="0062668A"/>
    <w:rsid w:val="006533A2"/>
    <w:rsid w:val="00692BA0"/>
    <w:rsid w:val="006973A2"/>
    <w:rsid w:val="006B6165"/>
    <w:rsid w:val="006B705F"/>
    <w:rsid w:val="006C4EC9"/>
    <w:rsid w:val="006E3433"/>
    <w:rsid w:val="006E648B"/>
    <w:rsid w:val="006F375D"/>
    <w:rsid w:val="0070410A"/>
    <w:rsid w:val="00707AB4"/>
    <w:rsid w:val="007478DD"/>
    <w:rsid w:val="00757D92"/>
    <w:rsid w:val="00762859"/>
    <w:rsid w:val="007D7CE2"/>
    <w:rsid w:val="00813725"/>
    <w:rsid w:val="00850EC6"/>
    <w:rsid w:val="00882CD6"/>
    <w:rsid w:val="008A141E"/>
    <w:rsid w:val="008B0AF5"/>
    <w:rsid w:val="008D4B70"/>
    <w:rsid w:val="008D77FA"/>
    <w:rsid w:val="008E7BC5"/>
    <w:rsid w:val="008F34C2"/>
    <w:rsid w:val="00921A80"/>
    <w:rsid w:val="00956E7B"/>
    <w:rsid w:val="0097237B"/>
    <w:rsid w:val="0097389A"/>
    <w:rsid w:val="00991E80"/>
    <w:rsid w:val="009A1B6F"/>
    <w:rsid w:val="009C56C0"/>
    <w:rsid w:val="009D3628"/>
    <w:rsid w:val="00A17CF0"/>
    <w:rsid w:val="00A7476B"/>
    <w:rsid w:val="00A77932"/>
    <w:rsid w:val="00AB701D"/>
    <w:rsid w:val="00AC4E61"/>
    <w:rsid w:val="00AC545C"/>
    <w:rsid w:val="00AE795D"/>
    <w:rsid w:val="00B27CDC"/>
    <w:rsid w:val="00B348DB"/>
    <w:rsid w:val="00B62F89"/>
    <w:rsid w:val="00B662C7"/>
    <w:rsid w:val="00C068BD"/>
    <w:rsid w:val="00C074B8"/>
    <w:rsid w:val="00C47A4B"/>
    <w:rsid w:val="00C5102F"/>
    <w:rsid w:val="00C7397F"/>
    <w:rsid w:val="00C836B2"/>
    <w:rsid w:val="00CB41C8"/>
    <w:rsid w:val="00CF16AE"/>
    <w:rsid w:val="00D1002D"/>
    <w:rsid w:val="00D21CF5"/>
    <w:rsid w:val="00D3465F"/>
    <w:rsid w:val="00D41FF6"/>
    <w:rsid w:val="00E344C7"/>
    <w:rsid w:val="00E65032"/>
    <w:rsid w:val="00E66EEC"/>
    <w:rsid w:val="00E914D4"/>
    <w:rsid w:val="00EE7AC9"/>
    <w:rsid w:val="00F0433D"/>
    <w:rsid w:val="00F33025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EF64-8C14-4DBD-BD45-775F175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C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F34C2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1B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9A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625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51D"/>
  </w:style>
  <w:style w:type="table" w:styleId="ab">
    <w:name w:val="Table Grid"/>
    <w:basedOn w:val="a1"/>
    <w:uiPriority w:val="39"/>
    <w:rsid w:val="00C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195394;dst=100893" TargetMode="External"/><Relationship Id="rId13" Type="http://schemas.openxmlformats.org/officeDocument/2006/relationships/hyperlink" Target="consultantplus://offline/ref=BFFF6CC3071DD9B15281F57171418AC0BBB89DF6B7D2561E97F0819CBD3B599172C4ABE8855F220500A9B5B419h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195394;dst=104335" TargetMode="External"/><Relationship Id="rId12" Type="http://schemas.openxmlformats.org/officeDocument/2006/relationships/hyperlink" Target="mailto:mail@vniida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195394;dst=101082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main?base=LAW;n=195394;dst=101073" TargetMode="External"/><Relationship Id="rId15" Type="http://schemas.openxmlformats.org/officeDocument/2006/relationships/hyperlink" Target="consultantplus://offline/ref=6CF8089A111C07B6E153764466198870B5369A3219EEF547D238B40BFC758BE8BB3DF0039DA25356B55F3B2197AEOAH" TargetMode="External"/><Relationship Id="rId10" Type="http://schemas.openxmlformats.org/officeDocument/2006/relationships/hyperlink" Target="consultantplus://offline/ref=main?base=LAW;n=195394;dst=100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195394;dst=100948" TargetMode="External"/><Relationship Id="rId14" Type="http://schemas.openxmlformats.org/officeDocument/2006/relationships/hyperlink" Target="mailto:Ivkin@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3740</Words>
  <Characters>21321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Вера Дмитриевна</dc:creator>
  <cp:keywords/>
  <dc:description/>
  <cp:lastModifiedBy>Ивановская Елена Владимировна</cp:lastModifiedBy>
  <cp:revision>4</cp:revision>
  <cp:lastPrinted>2020-10-05T05:23:00Z</cp:lastPrinted>
  <dcterms:created xsi:type="dcterms:W3CDTF">2020-10-19T05:30:00Z</dcterms:created>
  <dcterms:modified xsi:type="dcterms:W3CDTF">2020-10-19T06:59:00Z</dcterms:modified>
</cp:coreProperties>
</file>