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Ind w:w="-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"/>
        <w:gridCol w:w="4474"/>
        <w:gridCol w:w="2561"/>
        <w:gridCol w:w="2401"/>
      </w:tblGrid>
      <w:tr w:rsidR="00147685" w:rsidRPr="00147685" w:rsidTr="00147685">
        <w:trPr>
          <w:gridBefore w:val="1"/>
          <w:wBefore w:w="25" w:type="dxa"/>
          <w:trHeight w:val="281"/>
        </w:trPr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Процентная ставка </w:t>
            </w:r>
          </w:p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по кредиту для заемщика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ind w:firstLine="28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 8,5 % годовых </w:t>
            </w:r>
          </w:p>
        </w:tc>
      </w:tr>
      <w:tr w:rsidR="00147685" w:rsidRPr="00147685" w:rsidTr="00147685">
        <w:trPr>
          <w:gridBefore w:val="1"/>
          <w:wBefore w:w="25" w:type="dxa"/>
          <w:trHeight w:val="269"/>
        </w:trPr>
        <w:tc>
          <w:tcPr>
            <w:tcW w:w="4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Цели льготных кредитов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ind w:firstLine="28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Инвестиционные</w:t>
            </w:r>
            <w:proofErr w:type="gramEnd"/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и пополнение оборотных средств</w:t>
            </w:r>
          </w:p>
        </w:tc>
      </w:tr>
      <w:tr w:rsidR="00147685" w:rsidRPr="00147685" w:rsidTr="00147685">
        <w:trPr>
          <w:gridBefore w:val="1"/>
          <w:wBefore w:w="25" w:type="dxa"/>
          <w:trHeight w:val="415"/>
        </w:trPr>
        <w:tc>
          <w:tcPr>
            <w:tcW w:w="4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Размер кредита </w:t>
            </w:r>
          </w:p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 инвестиционные цели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ind w:left="28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От 3 млн. рублей до 1 млрд. рублей</w:t>
            </w:r>
          </w:p>
        </w:tc>
      </w:tr>
      <w:tr w:rsidR="00147685" w:rsidRPr="00147685" w:rsidTr="00147685">
        <w:trPr>
          <w:gridBefore w:val="1"/>
          <w:wBefore w:w="25" w:type="dxa"/>
          <w:trHeight w:val="430"/>
        </w:trPr>
        <w:tc>
          <w:tcPr>
            <w:tcW w:w="4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Размер кредита </w:t>
            </w:r>
          </w:p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 пополнение оборотных средств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ind w:firstLine="28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От 3 млн. рублей до 100 млн. рублей</w:t>
            </w:r>
          </w:p>
        </w:tc>
      </w:tr>
      <w:tr w:rsidR="00147685" w:rsidRPr="00147685" w:rsidTr="00147685">
        <w:trPr>
          <w:gridBefore w:val="1"/>
          <w:wBefore w:w="25" w:type="dxa"/>
          <w:trHeight w:val="297"/>
        </w:trPr>
        <w:tc>
          <w:tcPr>
            <w:tcW w:w="4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Срок кредитного договора </w:t>
            </w:r>
          </w:p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на инвестиционные цели 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ind w:firstLine="28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До 10 лет</w:t>
            </w:r>
          </w:p>
        </w:tc>
      </w:tr>
      <w:tr w:rsidR="00147685" w:rsidRPr="00147685" w:rsidTr="00147685">
        <w:trPr>
          <w:gridBefore w:val="1"/>
          <w:wBefore w:w="25" w:type="dxa"/>
          <w:trHeight w:val="290"/>
        </w:trPr>
        <w:tc>
          <w:tcPr>
            <w:tcW w:w="4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Срок кредитного договора </w:t>
            </w:r>
          </w:p>
          <w:p w:rsidR="00147685" w:rsidRPr="00147685" w:rsidRDefault="00147685" w:rsidP="001476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 пополнение оборотных средств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/>
              <w:ind w:firstLine="28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До 3 лет</w:t>
            </w:r>
          </w:p>
        </w:tc>
      </w:tr>
      <w:tr w:rsidR="00147685" w:rsidRPr="00147685" w:rsidTr="00147685">
        <w:trPr>
          <w:gridAfter w:val="1"/>
          <w:wAfter w:w="2401" w:type="dxa"/>
          <w:trHeight w:val="449"/>
        </w:trPr>
        <w:tc>
          <w:tcPr>
            <w:tcW w:w="7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3B373A"/>
            <w:tcMar>
              <w:top w:w="57" w:type="dxa"/>
              <w:left w:w="104" w:type="dxa"/>
              <w:bottom w:w="57" w:type="dxa"/>
              <w:right w:w="104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Требования к заемщикам (п. 20 Правил)</w:t>
            </w:r>
          </w:p>
        </w:tc>
      </w:tr>
      <w:tr w:rsidR="00147685" w:rsidRPr="00147685" w:rsidTr="00147685">
        <w:trPr>
          <w:gridAfter w:val="1"/>
          <w:wAfter w:w="2401" w:type="dxa"/>
          <w:trHeight w:val="104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04" w:type="dxa"/>
              <w:bottom w:w="57" w:type="dxa"/>
              <w:right w:w="104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 xml:space="preserve">Субъект МСП </w:t>
            </w:r>
          </w:p>
        </w:tc>
      </w:tr>
      <w:tr w:rsidR="00147685" w:rsidRPr="00147685" w:rsidTr="00147685">
        <w:trPr>
          <w:gridAfter w:val="1"/>
          <w:wAfter w:w="2401" w:type="dxa"/>
          <w:trHeight w:val="166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04" w:type="dxa"/>
              <w:bottom w:w="57" w:type="dxa"/>
              <w:right w:w="104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>Статус налогового резидента РФ</w:t>
            </w:r>
          </w:p>
        </w:tc>
      </w:tr>
      <w:tr w:rsidR="00147685" w:rsidRPr="00147685" w:rsidTr="00147685">
        <w:trPr>
          <w:gridAfter w:val="1"/>
          <w:wAfter w:w="2401" w:type="dxa"/>
          <w:trHeight w:val="229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04" w:type="dxa"/>
              <w:bottom w:w="57" w:type="dxa"/>
              <w:right w:w="104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 xml:space="preserve">Ведение деятельности в одной </w:t>
            </w:r>
          </w:p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>или нескольких приоритетных отраслях</w:t>
            </w:r>
          </w:p>
        </w:tc>
      </w:tr>
      <w:tr w:rsidR="00147685" w:rsidRPr="00147685" w:rsidTr="00147685">
        <w:trPr>
          <w:gridAfter w:val="1"/>
          <w:wAfter w:w="2401" w:type="dxa"/>
          <w:trHeight w:val="208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04" w:type="dxa"/>
              <w:bottom w:w="57" w:type="dxa"/>
              <w:right w:w="104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 w:line="20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>Отсутствие возбужденного производства по делу о банкротстве</w:t>
            </w:r>
          </w:p>
        </w:tc>
      </w:tr>
      <w:tr w:rsidR="00147685" w:rsidRPr="00147685" w:rsidTr="00147685">
        <w:trPr>
          <w:gridAfter w:val="1"/>
          <w:wAfter w:w="2401" w:type="dxa"/>
          <w:trHeight w:val="114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05" w:type="dxa"/>
              <w:bottom w:w="57" w:type="dxa"/>
              <w:right w:w="105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 xml:space="preserve">Отсутствие просроченной задолженности по налогам, </w:t>
            </w:r>
          </w:p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>сборам и иным обязательным платежам</w:t>
            </w:r>
          </w:p>
        </w:tc>
      </w:tr>
      <w:tr w:rsidR="00147685" w:rsidRPr="00147685" w:rsidTr="00147685">
        <w:trPr>
          <w:gridAfter w:val="1"/>
          <w:wAfter w:w="2401" w:type="dxa"/>
          <w:trHeight w:val="94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05" w:type="dxa"/>
              <w:bottom w:w="57" w:type="dxa"/>
              <w:right w:w="105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 xml:space="preserve">Отсутствие задолженности </w:t>
            </w:r>
          </w:p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>перед работниками по заработной плате</w:t>
            </w:r>
          </w:p>
        </w:tc>
      </w:tr>
      <w:tr w:rsidR="00147685" w:rsidRPr="00147685" w:rsidTr="00147685">
        <w:trPr>
          <w:gridAfter w:val="1"/>
          <w:wAfter w:w="2401" w:type="dxa"/>
          <w:trHeight w:val="650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05" w:type="dxa"/>
              <w:bottom w:w="57" w:type="dxa"/>
              <w:right w:w="105" w:type="dxa"/>
            </w:tcMar>
            <w:vAlign w:val="center"/>
            <w:hideMark/>
          </w:tcPr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 xml:space="preserve">Отсутствие просроченных платежей по кредитным договорам </w:t>
            </w:r>
          </w:p>
          <w:p w:rsidR="00147685" w:rsidRPr="00147685" w:rsidRDefault="00147685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685"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>и 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</w:t>
            </w:r>
          </w:p>
        </w:tc>
      </w:tr>
      <w:tr w:rsidR="007538BF" w:rsidRPr="00147685" w:rsidTr="00147685">
        <w:trPr>
          <w:gridAfter w:val="1"/>
          <w:wAfter w:w="2401" w:type="dxa"/>
          <w:trHeight w:val="650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105" w:type="dxa"/>
              <w:bottom w:w="57" w:type="dxa"/>
              <w:right w:w="105" w:type="dxa"/>
            </w:tcMar>
            <w:vAlign w:val="center"/>
          </w:tcPr>
          <w:p w:rsidR="007538BF" w:rsidRPr="00147685" w:rsidRDefault="007538BF" w:rsidP="001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kern w:val="24"/>
                <w:sz w:val="20"/>
                <w:szCs w:val="20"/>
                <w:lang w:eastAsia="ru-RU"/>
              </w:rPr>
              <w:t>Выручка по году не более 2 млрд. рублей, количество сотрудников не более 250</w:t>
            </w:r>
          </w:p>
        </w:tc>
      </w:tr>
    </w:tbl>
    <w:p w:rsidR="00DD6FF9" w:rsidRDefault="007538BF">
      <w:pPr>
        <w:rPr>
          <w:sz w:val="20"/>
          <w:szCs w:val="20"/>
        </w:rPr>
      </w:pPr>
    </w:p>
    <w:p w:rsidR="00147685" w:rsidRPr="00147685" w:rsidRDefault="00147685">
      <w:pPr>
        <w:rPr>
          <w:sz w:val="20"/>
          <w:szCs w:val="20"/>
        </w:rPr>
      </w:pPr>
    </w:p>
    <w:sectPr w:rsidR="00147685" w:rsidRPr="00147685" w:rsidSect="001476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7"/>
    <w:rsid w:val="00060927"/>
    <w:rsid w:val="00147685"/>
    <w:rsid w:val="007538BF"/>
    <w:rsid w:val="00980F98"/>
    <w:rsid w:val="00A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Paramonovev2</dc:creator>
  <cp:lastModifiedBy>MARP</cp:lastModifiedBy>
  <cp:revision>2</cp:revision>
  <dcterms:created xsi:type="dcterms:W3CDTF">2019-01-25T02:17:00Z</dcterms:created>
  <dcterms:modified xsi:type="dcterms:W3CDTF">2019-01-25T02:17:00Z</dcterms:modified>
</cp:coreProperties>
</file>